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Dickman Thomas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539,596</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0.47</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539,591</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Mr. Dickman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Dickman.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as to one-fourth of the underlying shares beginning on September 1, 2024 and thereafter in 48 equal monthly installments, subject to Mr. Dickman's continued service through the applicable vesting date and a liquidity event vesting condition. The liquidity event vesting condition was deemed met upon the Merger described in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Exhibit 24 to that Form 4 filed by the Reporting Person on February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497"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4560</Characters>
  <CharactersWithSpaces>5318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