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fld-20260811.htm"/>
      <w:bookmarkStart w:id="1" w:name="ksfld20260811"/>
      <w:bookmarkEnd w:id="0"/>
      <w:bookmarkEnd w:id="1"/>
      <w:r>
        <w:rPr/>
        <w:t> </w:t>
      </w:r>
    </w:p>
    <w:p>
      <w:pPr>
        <w:pStyle w:val="TextBody"/>
        <w:bidi w:val="0"/>
        <w:jc w:val="center"/>
        <w:rPr>
          <w:rFonts w:ascii="Times New Roman" w:hAnsi="Times New Roman"/>
          <w:b/>
          <w:color w:val="000000"/>
          <w:sz w:val="20"/>
        </w:rPr>
      </w:pPr>
      <w:r>
        <w:rPr>
          <w:rFonts w:ascii="Times New Roman" w:hAnsi="Times New Roman"/>
          <w:b/>
          <w:color w:val="000000"/>
          <w:sz w:val="20"/>
        </w:rPr>
        <w:t>UNITED STATES</w:t>
      </w:r>
    </w:p>
    <w:p>
      <w:pPr>
        <w:pStyle w:val="TextBody"/>
        <w:bidi w:val="0"/>
        <w:jc w:val="center"/>
        <w:rPr>
          <w:rFonts w:ascii="Times New Roman" w:hAnsi="Times New Roman"/>
          <w:b/>
          <w:color w:val="000000"/>
          <w:sz w:val="20"/>
        </w:rPr>
      </w:pPr>
      <w:r>
        <w:rPr>
          <w:rFonts w:ascii="Times New Roman" w:hAnsi="Times New Roman"/>
          <w:b/>
          <w:color w:val="000000"/>
          <w:sz w:val="20"/>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jc w:val="center"/>
        <w:rPr>
          <w:rFonts w:ascii="Times New Roman" w:hAnsi="Times New Roman"/>
          <w:b/>
          <w:color w:val="000000"/>
          <w:sz w:val="24"/>
        </w:rPr>
      </w:pPr>
      <w:r>
        <w:rPr>
          <w:rFonts w:ascii="Times New Roman" w:hAnsi="Times New Roman"/>
          <w:b/>
          <w:color w:val="000000"/>
          <w:sz w:val="24"/>
        </w:rPr>
        <w:t>FORM 8-K</w:t>
      </w:r>
    </w:p>
    <w:p>
      <w:pPr>
        <w:pStyle w:val="TextBody"/>
        <w:bidi w:val="0"/>
        <w:jc w:val="center"/>
        <w:rPr>
          <w:rFonts w:ascii="Times New Roman" w:hAnsi="Times New Roman"/>
          <w:b/>
          <w:color w:val="000000"/>
          <w:sz w:val="20"/>
        </w:rPr>
      </w:pPr>
      <w:r>
        <w:rPr>
          <w:rFonts w:ascii="Times New Roman" w:hAnsi="Times New Roman"/>
          <w:b/>
          <w:color w:val="000000"/>
          <w:sz w:val="20"/>
        </w:rPr>
        <w:t>CURRENT REPORT</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13 OR 15(d)</w:t>
      </w:r>
    </w:p>
    <w:p>
      <w:pPr>
        <w:pStyle w:val="TextBody"/>
        <w:bidi w:val="0"/>
        <w:jc w:val="center"/>
        <w:rPr>
          <w:rFonts w:ascii="Times New Roman" w:hAnsi="Times New Roman"/>
          <w:b/>
          <w:color w:val="000000"/>
          <w:sz w:val="20"/>
        </w:rPr>
      </w:pPr>
      <w:r>
        <w:rPr>
          <w:rFonts w:ascii="Times New Roman" w:hAnsi="Times New Roman"/>
          <w:b/>
          <w:color w:val="000000"/>
          <w:sz w:val="20"/>
        </w:rPr>
        <w:t>OF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Date of Report (Date of earliest event reported): August 11, 2026</w:t>
      </w:r>
    </w:p>
    <w:p>
      <w:pPr>
        <w:pStyle w:val="TextBody"/>
        <w:bidi w:val="0"/>
        <w:jc w:val="center"/>
        <w:rPr>
          <w:rFonts w:ascii="Times New Roman" w:hAnsi="Times New Roman"/>
          <w:b/>
          <w:color w:val="000000"/>
          <w:sz w:val="40"/>
        </w:rPr>
      </w:pPr>
      <w:r>
        <w:rPr>
          <w:rFonts w:ascii="Times New Roman" w:hAnsi="Times New Roman"/>
          <w:b/>
          <w:color w:val="000000"/>
          <w:sz w:val="40"/>
        </w:rPr>
        <w:t>Fold Holdings,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tbl>
      <w:tblPr>
        <w:tblW w:w="6453" w:type="dxa"/>
        <w:jc w:val="left"/>
        <w:tblInd w:w="0" w:type="dxa"/>
        <w:tblLayout w:type="fixed"/>
        <w:tblCellMar>
          <w:top w:w="28" w:type="dxa"/>
          <w:left w:w="28" w:type="dxa"/>
          <w:bottom w:w="28" w:type="dxa"/>
          <w:right w:w="28" w:type="dxa"/>
        </w:tblCellMar>
      </w:tblPr>
      <w:tblGrid>
        <w:gridCol w:w="2251"/>
        <w:gridCol w:w="109"/>
        <w:gridCol w:w="2296"/>
        <w:gridCol w:w="146"/>
        <w:gridCol w:w="1651"/>
      </w:tblGrid>
      <w:tr>
        <w:trPr/>
        <w:tc>
          <w:tcPr>
            <w:tcW w:w="2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251"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09"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96"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001-41168</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center"/>
              <w:rPr/>
            </w:pPr>
            <w:r>
              <w:rPr/>
              <w:t> </w:t>
            </w:r>
          </w:p>
        </w:tc>
        <w:tc>
          <w:tcPr>
            <w:tcW w:w="1651"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86-2170416</w:t>
            </w:r>
          </w:p>
        </w:tc>
      </w:tr>
      <w:tr>
        <w:trPr/>
        <w:tc>
          <w:tcPr>
            <w:tcW w:w="22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(State or other jurisdiction</w:t>
              <w:br/>
              <w:t>of incorporation)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(Commission File Number)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(IRS Employer</w:t>
              <w:br/>
              <w:t>Identification No.)</w:t>
            </w:r>
          </w:p>
        </w:tc>
      </w:tr>
    </w:tbl>
    <w:tbl>
      <w:tblPr>
        <w:tblW w:w="4791" w:type="dxa"/>
        <w:jc w:val="left"/>
        <w:tblInd w:w="0" w:type="dxa"/>
        <w:tblLayout w:type="fixed"/>
        <w:tblCellMar>
          <w:top w:w="28" w:type="dxa"/>
          <w:left w:w="28" w:type="dxa"/>
          <w:bottom w:w="28" w:type="dxa"/>
          <w:right w:w="28" w:type="dxa"/>
        </w:tblCellMar>
      </w:tblPr>
      <w:tblGrid>
        <w:gridCol w:w="3631"/>
        <w:gridCol w:w="109"/>
        <w:gridCol w:w="1051"/>
      </w:tblGrid>
      <w:tr>
        <w:trPr/>
        <w:tc>
          <w:tcPr>
            <w:tcW w:w="3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r>
      <w:tr>
        <w:trPr/>
        <w:tc>
          <w:tcPr>
            <w:tcW w:w="3631"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2942 North 24th Street, Suite 115, #42035</w:t>
              <w:br/>
              <w:t>Phoenix, Arizona</w:t>
            </w:r>
          </w:p>
        </w:tc>
        <w:tc>
          <w:tcPr>
            <w:tcW w:w="109"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1"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85016</w:t>
            </w:r>
          </w:p>
        </w:tc>
      </w:tr>
      <w:tr>
        <w:trPr/>
        <w:tc>
          <w:tcPr>
            <w:tcW w:w="3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(Address of principal executive offices)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(Zip Code)</w:t>
            </w:r>
          </w:p>
        </w:tc>
      </w:tr>
    </w:tbl>
    <w:p>
      <w:pPr>
        <w:pStyle w:val="TextBody"/>
        <w:bidi w:val="0"/>
        <w:jc w:val="center"/>
        <w:rPr>
          <w:rFonts w:ascii="Times New Roman" w:hAnsi="Times New Roman"/>
          <w:b/>
          <w:color w:val="000000"/>
          <w:sz w:val="20"/>
        </w:rPr>
      </w:pPr>
      <w:r>
        <w:rPr>
          <w:rFonts w:ascii="Times New Roman" w:hAnsi="Times New Roman"/>
          <w:b/>
          <w:color w:val="000000"/>
          <w:sz w:val="20"/>
        </w:rPr>
        <w:t>(866) 365-3277</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color w:val="000000"/>
          <w:sz w:val="20"/>
        </w:rPr>
      </w:pPr>
      <w:r>
        <w:rPr>
          <w:rFonts w:ascii="Times New Roman" w:hAnsi="Times New Roman"/>
          <w:color w:val="000000"/>
          <w:sz w:val="20"/>
        </w:rPr>
        <w:t>(Former name or former address, if changed since last report)</w:t>
      </w:r>
    </w:p>
    <w:p>
      <w:pPr>
        <w:pStyle w:val="TextBody"/>
        <w:bidi w:val="0"/>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left"/>
        <w:rPr>
          <w:rFonts w:ascii="Times New Roman" w:hAnsi="Times New Roman"/>
          <w:color w:val="000000"/>
          <w:sz w:val="20"/>
        </w:rPr>
      </w:pPr>
      <w:r>
        <w:rPr>
          <w:rFonts w:ascii="Times New Roman" w:hAnsi="Times New Roman"/>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5786"/>
        <w:gridCol w:w="109"/>
        <w:gridCol w:w="1355"/>
        <w:gridCol w:w="109"/>
        <w:gridCol w:w="2846"/>
      </w:tblGrid>
      <w:tr>
        <w:trPr/>
        <w:tc>
          <w:tcPr>
            <w:tcW w:w="5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6" w:type="dxa"/>
            <w:tcBorders/>
            <w:vAlign w:val="center"/>
          </w:tcPr>
          <w:p>
            <w:pPr>
              <w:pStyle w:val="TableContents"/>
              <w:bidi w:val="0"/>
              <w:spacing w:before="0" w:after="283"/>
              <w:jc w:val="left"/>
              <w:rPr>
                <w:sz w:val="4"/>
                <w:szCs w:val="4"/>
              </w:rPr>
            </w:pPr>
            <w:r>
              <w:rPr>
                <w:sz w:val="4"/>
                <w:szCs w:val="4"/>
              </w:rPr>
            </w:r>
          </w:p>
        </w:tc>
      </w:tr>
      <w:tr>
        <w:trPr/>
        <w:tc>
          <w:tcPr>
            <w:tcW w:w="5786"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09"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5"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Trading Symbol(s)</w:t>
            </w:r>
            <w:r>
              <w:rPr>
                <w:rFonts w:ascii="Times New Roman" w:hAnsi="Times New Roman"/>
                <w:color w:val="000000"/>
                <w:sz w:val="20"/>
              </w:rPr>
              <w:t xml:space="preserve"> </w:t>
            </w:r>
          </w:p>
        </w:tc>
        <w:tc>
          <w:tcPr>
            <w:tcW w:w="109"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46"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Name of each exchange on which registered</w:t>
            </w:r>
            <w:r>
              <w:rPr>
                <w:rFonts w:ascii="Times New Roman" w:hAnsi="Times New Roman"/>
                <w:color w:val="000000"/>
                <w:sz w:val="20"/>
              </w:rPr>
              <w:t xml:space="preserve"> </w:t>
            </w:r>
          </w:p>
        </w:tc>
      </w:tr>
      <w:tr>
        <w:trPr/>
        <w:tc>
          <w:tcPr>
            <w:tcW w:w="578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$0.0001 per share</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FLD</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Capital Market</w:t>
            </w:r>
          </w:p>
        </w:tc>
      </w:tr>
      <w:tr>
        <w:trPr/>
        <w:tc>
          <w:tcPr>
            <w:tcW w:w="57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Warrants, each whole warrant exercisable for one share of common stock at an exercise price of $11.50 per share</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FLDDW</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Capital Market</w:t>
            </w:r>
          </w:p>
        </w:tc>
      </w:tr>
    </w:tbl>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jc w:val="left"/>
        <w:rPr>
          <w:rFonts w:ascii="Times New Roman" w:hAnsi="Times New Roman"/>
          <w:sz w:val="20"/>
        </w:rPr>
      </w:pPr>
      <w:r>
        <w:rPr>
          <w:rFonts w:ascii="Times New Roman" w:hAnsi="Times New Roman"/>
          <w:color w:val="000000"/>
          <w:sz w:val="20"/>
        </w:rPr>
        <w:t xml:space="preserve">On August 11, 2026, Fold Holdings, Inc. issued a press release announcing its financial and operational results for the second quarter ended June 30, 2026. A copy of the press release is furnished as </w:t>
      </w:r>
      <w:r>
        <w:rPr>
          <w:rFonts w:ascii="Times New Roman" w:hAnsi="Times New Roman"/>
          <w:color w:val="000000"/>
          <w:sz w:val="20"/>
          <w:u w:val="single"/>
        </w:rPr>
        <w:t>Exhibit 99.1</w:t>
      </w:r>
      <w:r>
        <w:rPr>
          <w:rFonts w:ascii="Times New Roman" w:hAnsi="Times New Roman"/>
          <w:color w:val="000000"/>
          <w:sz w:val="20"/>
        </w:rPr>
        <w:t xml:space="preserve"> hereto and is incorporated herein in its entirety by reference.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Limitation on Incorporation by Reference</w:t>
      </w:r>
      <w:r>
        <w:rPr>
          <w:rFonts w:ascii="Times New Roman" w:hAnsi="Times New Roman"/>
          <w:i/>
          <w:color w:val="000000"/>
          <w:sz w:val="20"/>
        </w:rPr>
        <w:t>.</w:t>
      </w:r>
      <w:r>
        <w:rPr>
          <w:rFonts w:ascii="Times New Roman" w:hAnsi="Times New Roman"/>
          <w:color w:val="000000"/>
          <w:sz w:val="20"/>
        </w:rPr>
        <w:t xml:space="preserve"> The information furnished in this Item 2.02, including the press release attached hereto as </w:t>
      </w:r>
      <w:r>
        <w:rPr>
          <w:rFonts w:ascii="Times New Roman" w:hAnsi="Times New Roman"/>
          <w:color w:val="000000"/>
          <w:sz w:val="20"/>
          <w:u w:val="single"/>
        </w:rPr>
        <w:t>Exhibit 99.1</w:t>
      </w:r>
      <w:r>
        <w:rPr>
          <w:rFonts w:ascii="Times New Roman" w:hAnsi="Times New Roman"/>
          <w:color w:val="000000"/>
          <w:sz w:val="20"/>
        </w:rPr>
        <w:t>, shall not be deemed “filed” for purposes of Section 18 of the Securities Exchange Act of 1934, as amended (the “</w:t>
      </w:r>
      <w:r>
        <w:rPr>
          <w:rFonts w:ascii="Times New Roman" w:hAnsi="Times New Roman"/>
          <w:b/>
          <w:color w:val="000000"/>
          <w:sz w:val="20"/>
        </w:rPr>
        <w:t>Exchange Act</w:t>
      </w:r>
      <w:r>
        <w:rPr>
          <w:rFonts w:ascii="Times New Roman" w:hAnsi="Times New Roman"/>
          <w:color w:val="000000"/>
          <w:sz w:val="20"/>
        </w:rPr>
        <w:t>”), or otherwise subject to the liabilities of that section, nor shall such information be deemed incorporated by reference in any filing made by the Company under the Securities Act of 1933, as amended, or the Exchange Act, except as set forth by specific reference in such a filing.</w:t>
      </w:r>
    </w:p>
    <w:p>
      <w:pPr>
        <w:pStyle w:val="TextBody"/>
        <w:bidi w:val="0"/>
        <w:jc w:val="left"/>
        <w:rPr>
          <w:rFonts w:ascii="Times New Roman" w:hAnsi="Times New Roman"/>
          <w:sz w:val="20"/>
        </w:rPr>
      </w:pPr>
      <w:r>
        <w:rPr>
          <w:rFonts w:ascii="Times New Roman" w:hAnsi="Times New Roman"/>
          <w:b/>
          <w:i/>
          <w:color w:val="000000"/>
          <w:sz w:val="20"/>
        </w:rPr>
        <w:t>Cautionary Note Regarding Forward-Looking Statements</w:t>
      </w:r>
      <w:r>
        <w:rPr>
          <w:rFonts w:ascii="Times New Roman" w:hAnsi="Times New Roman"/>
          <w:i/>
          <w:color w:val="000000"/>
          <w:sz w:val="20"/>
        </w:rPr>
        <w:t>.</w:t>
      </w:r>
      <w:r>
        <w:rPr>
          <w:rFonts w:ascii="Times New Roman" w:hAnsi="Times New Roman"/>
          <w:color w:val="000000"/>
          <w:sz w:val="20"/>
        </w:rPr>
        <w:t xml:space="preserve"> Except for historical information contained in the press release attached as </w:t>
      </w:r>
      <w:r>
        <w:rPr>
          <w:rFonts w:ascii="Times New Roman" w:hAnsi="Times New Roman"/>
          <w:color w:val="000000"/>
          <w:sz w:val="20"/>
          <w:u w:val="single"/>
        </w:rPr>
        <w:t>Exhibit 99.1</w:t>
      </w:r>
      <w:r>
        <w:rPr>
          <w:rFonts w:ascii="Times New Roman" w:hAnsi="Times New Roman"/>
          <w:color w:val="000000"/>
          <w:sz w:val="20"/>
        </w:rPr>
        <w:t xml:space="preserve"> hereto, the press release contains forward-looking statements that involve certain risks and uncertainties that could cause actual results to differ materially from those expressed or implied by these statements. Please refer to the cautionary note in the press release regarding these forward-looking statements.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7.01. Regulation FD Disclosure.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information set forth under Item 2.02 is incorporated herein by reference.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 Exhibits</w:t>
      </w:r>
    </w:p>
    <w:tbl>
      <w:tblPr>
        <w:tblW w:w="7821" w:type="dxa"/>
        <w:jc w:val="left"/>
        <w:tblInd w:w="0" w:type="dxa"/>
        <w:tblLayout w:type="fixed"/>
        <w:tblCellMar>
          <w:top w:w="28" w:type="dxa"/>
          <w:left w:w="28" w:type="dxa"/>
          <w:bottom w:w="28" w:type="dxa"/>
          <w:right w:w="28" w:type="dxa"/>
        </w:tblCellMar>
      </w:tblPr>
      <w:tblGrid>
        <w:gridCol w:w="1066"/>
        <w:gridCol w:w="109"/>
        <w:gridCol w:w="6646"/>
      </w:tblGrid>
      <w:tr>
        <w:trPr/>
        <w:tc>
          <w:tcPr>
            <w:tcW w:w="1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1066" w:type="dxa"/>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No.</w:t>
            </w:r>
          </w:p>
        </w:tc>
        <w:tc>
          <w:tcPr>
            <w:tcW w:w="109" w:type="dxa"/>
            <w:tcBorders>
              <w:bottom w:val="single" w:sz="12"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46" w:type="dxa"/>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Description</w:t>
            </w:r>
          </w:p>
        </w:tc>
      </w:tr>
      <w:tr>
        <w:trPr/>
        <w:tc>
          <w:tcPr>
            <w:tcW w:w="10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6"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fld-ex99_1.htm">
              <w:r>
                <w:rPr>
                  <w:rStyle w:val="InternetLink"/>
                  <w:rFonts w:ascii="Times New Roman" w:hAnsi="Times New Roman"/>
                  <w:color w:val="0000FF"/>
                  <w:sz w:val="20"/>
                  <w:u w:val="single"/>
                </w:rPr>
                <w:t>Press Release of Fold Holdings, Inc., dated August 11, 2026.</w:t>
              </w:r>
            </w:hyperlink>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698" w:type="dxa"/>
        <w:jc w:val="left"/>
        <w:tblInd w:w="0" w:type="dxa"/>
        <w:tblLayout w:type="fixed"/>
        <w:tblCellMar>
          <w:top w:w="28" w:type="dxa"/>
          <w:left w:w="28" w:type="dxa"/>
          <w:bottom w:w="28" w:type="dxa"/>
          <w:right w:w="28" w:type="dxa"/>
        </w:tblCellMar>
      </w:tblPr>
      <w:tblGrid>
        <w:gridCol w:w="1951"/>
        <w:gridCol w:w="676"/>
        <w:gridCol w:w="2071"/>
      </w:tblGrid>
      <w:tr>
        <w:trPr/>
        <w:tc>
          <w:tcPr>
            <w:tcW w:w="195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Fold Holdings, Inc.</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2026</w:t>
            </w:r>
          </w:p>
        </w:tc>
        <w:tc>
          <w:tcPr>
            <w:tcW w:w="6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71" w:type="dxa"/>
            <w:tcBorders>
              <w:bottom w:val="single" w:sz="12"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Will Reeves</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Name: </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Will Reeves</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center"/>
        <w:rPr/>
      </w:pPr>
      <w:bookmarkStart w:id="2" w:name="fld-ex99_1.htm"/>
      <w:bookmarkStart w:id="3" w:name="ksfldex99_1"/>
      <w:bookmarkEnd w:id="2"/>
      <w:bookmarkEnd w:id="3"/>
      <w:r>
        <w:rPr/>
        <w:t> </w:t>
      </w:r>
      <w:r>
        <w:br w:type="page"/>
      </w:r>
    </w:p>
    <w:p>
      <w:pPr>
        <w:pStyle w:val="TextBody"/>
        <w:bidi w:val="0"/>
        <w:jc w:val="left"/>
        <w:rPr/>
      </w:pPr>
      <w:r>
        <w:rPr/>
        <w:t> </w:t>
      </w:r>
    </w:p>
    <w:p>
      <w:pPr>
        <w:pStyle w:val="TextBody"/>
        <w:bidi w:val="0"/>
        <w:spacing w:before="0" w:after="160"/>
        <w:jc w:val="center"/>
        <w:rPr/>
      </w:pPr>
      <w:r>
        <w:rPr/>
        <w:drawing>
          <wp:inline distT="0" distB="0" distL="0" distR="0">
            <wp:extent cx="942975" cy="6762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42975" cy="676275"/>
                    </a:xfrm>
                    <a:prstGeom prst="rect">
                      <a:avLst/>
                    </a:prstGeom>
                  </pic:spPr>
                </pic:pic>
              </a:graphicData>
            </a:graphic>
          </wp:inline>
        </w:drawing>
      </w:r>
    </w:p>
    <w:p>
      <w:pPr>
        <w:pStyle w:val="TextBody"/>
        <w:bidi w:val="0"/>
        <w:jc w:val="center"/>
        <w:rPr>
          <w:rFonts w:ascii="Times New Roman" w:hAnsi="Times New Roman"/>
          <w:sz w:val="20"/>
        </w:rPr>
      </w:pPr>
      <w:r>
        <w:rPr>
          <w:rFonts w:ascii="Arial" w:hAnsi="Arial"/>
          <w:b/>
          <w:color w:val="000000"/>
          <w:sz w:val="28"/>
        </w:rPr>
        <w:t>Fold Holdings, Inc. (NASDAQ: FLD)</w:t>
      </w:r>
      <w:r>
        <w:rPr>
          <w:rFonts w:ascii="Times New Roman" w:hAnsi="Times New Roman"/>
          <w:color w:val="000000"/>
          <w:sz w:val="20"/>
        </w:rPr>
        <w:t xml:space="preserve"> </w:t>
      </w:r>
    </w:p>
    <w:p>
      <w:pPr>
        <w:pStyle w:val="TextBody"/>
        <w:bidi w:val="0"/>
        <w:jc w:val="center"/>
        <w:rPr>
          <w:rFonts w:ascii="Arial" w:hAnsi="Arial"/>
          <w:b/>
          <w:color w:val="000000"/>
          <w:sz w:val="28"/>
        </w:rPr>
      </w:pPr>
      <w:r>
        <w:rPr>
          <w:rFonts w:ascii="Arial" w:hAnsi="Arial"/>
          <w:b/>
          <w:color w:val="000000"/>
          <w:sz w:val="28"/>
        </w:rPr>
        <w:t>Announces Second Quarter 2026 Results</w:t>
      </w:r>
    </w:p>
    <w:p>
      <w:pPr>
        <w:pStyle w:val="TextBody"/>
        <w:bidi w:val="0"/>
        <w:jc w:val="center"/>
        <w:rPr/>
      </w:pPr>
      <w:r>
        <w:rPr/>
        <w:t> </w:t>
      </w:r>
    </w:p>
    <w:p>
      <w:pPr>
        <w:pStyle w:val="TextBody"/>
        <w:bidi w:val="0"/>
        <w:jc w:val="center"/>
        <w:rPr>
          <w:rFonts w:ascii="Arial" w:hAnsi="Arial"/>
          <w:i/>
          <w:color w:val="000000"/>
          <w:sz w:val="22"/>
        </w:rPr>
      </w:pPr>
      <w:r>
        <w:rPr>
          <w:rFonts w:ascii="Arial" w:hAnsi="Arial"/>
          <w:i/>
          <w:color w:val="000000"/>
          <w:sz w:val="22"/>
        </w:rPr>
        <w:t>Revenues: $6.1 million</w:t>
      </w:r>
    </w:p>
    <w:p>
      <w:pPr>
        <w:pStyle w:val="TextBody"/>
        <w:bidi w:val="0"/>
        <w:jc w:val="center"/>
        <w:rPr>
          <w:rFonts w:ascii="Arial" w:hAnsi="Arial"/>
          <w:i/>
          <w:color w:val="000000"/>
          <w:sz w:val="22"/>
        </w:rPr>
      </w:pPr>
      <w:r>
        <w:rPr>
          <w:rFonts w:ascii="Arial" w:hAnsi="Arial"/>
          <w:i/>
          <w:color w:val="000000"/>
          <w:sz w:val="22"/>
        </w:rPr>
        <w:t>Eliminated $20 million of Secured Debt</w:t>
      </w:r>
    </w:p>
    <w:p>
      <w:pPr>
        <w:pStyle w:val="TextBody"/>
        <w:bidi w:val="0"/>
        <w:jc w:val="center"/>
        <w:rPr>
          <w:rFonts w:ascii="Arial" w:hAnsi="Arial"/>
          <w:i/>
          <w:color w:val="000000"/>
          <w:sz w:val="22"/>
        </w:rPr>
      </w:pPr>
      <w:r>
        <w:rPr>
          <w:rFonts w:ascii="Arial" w:hAnsi="Arial"/>
          <w:i/>
          <w:color w:val="000000"/>
          <w:sz w:val="22"/>
        </w:rPr>
        <w:t>Over 2,000 Fold Credit Cards Currently in Early Access; up over 100% from last quarter</w:t>
      </w:r>
    </w:p>
    <w:p>
      <w:pPr>
        <w:pStyle w:val="TextBody"/>
        <w:bidi w:val="0"/>
        <w:jc w:val="center"/>
        <w:rPr>
          <w:rFonts w:ascii="Arial" w:hAnsi="Arial"/>
          <w:i/>
          <w:color w:val="000000"/>
          <w:sz w:val="22"/>
        </w:rPr>
      </w:pPr>
      <w:r>
        <w:rPr>
          <w:rFonts w:ascii="Arial" w:hAnsi="Arial"/>
          <w:i/>
          <w:color w:val="000000"/>
          <w:sz w:val="22"/>
        </w:rPr>
        <w:t>Planned Expansion into Asset-Based Revenue Streams</w:t>
      </w:r>
    </w:p>
    <w:p>
      <w:pPr>
        <w:pStyle w:val="TextBody"/>
        <w:bidi w:val="0"/>
        <w:jc w:val="center"/>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2"/>
        </w:rPr>
        <w:t xml:space="preserve">PHOENIX, August 11, 2026 (GLOBE NEWSWIRE) </w:t>
      </w:r>
      <w:r>
        <w:rPr>
          <w:rFonts w:ascii="Arial" w:hAnsi="Arial"/>
          <w:color w:val="000000"/>
          <w:sz w:val="22"/>
        </w:rPr>
        <w:t>-- Fold Holdings, Inc. (NASDAQ: FLD) (“Fold”, “we”, or “our”), the first publicly traded bitcoin financial services company, today announced financial results for the second quarter ended June 30, 2026.</w:t>
      </w:r>
    </w:p>
    <w:p>
      <w:pPr>
        <w:pStyle w:val="TextBody"/>
        <w:bidi w:val="0"/>
        <w:spacing w:before="200" w:after="160"/>
        <w:jc w:val="left"/>
        <w:rPr>
          <w:rFonts w:ascii="Arial" w:hAnsi="Arial"/>
          <w:b/>
          <w:color w:val="000000"/>
          <w:sz w:val="22"/>
        </w:rPr>
      </w:pPr>
      <w:r>
        <w:rPr>
          <w:rFonts w:ascii="Arial" w:hAnsi="Arial"/>
          <w:b/>
          <w:color w:val="000000"/>
          <w:sz w:val="22"/>
        </w:rPr>
        <w:t>Q2 2026 Financial Highlights</w:t>
      </w:r>
    </w:p>
    <w:p>
      <w:pPr>
        <w:pStyle w:val="TextBody"/>
        <w:bidi w:val="0"/>
        <w:spacing w:before="0" w:after="160"/>
        <w:jc w:val="left"/>
        <w:rPr>
          <w:color w:val="000000"/>
        </w:rPr>
      </w:pPr>
      <w:r>
        <w:rPr>
          <w:color w:val="000000"/>
        </w:rPr>
        <w:t>●</w:t>
      </w:r>
    </w:p>
    <w:p>
      <w:pPr>
        <w:pStyle w:val="TextBody"/>
        <w:bidi w:val="0"/>
        <w:spacing w:before="0" w:after="160"/>
        <w:jc w:val="left"/>
        <w:rPr/>
      </w:pPr>
      <w:r>
        <w:rPr>
          <w:rFonts w:ascii="Arial" w:hAnsi="Arial"/>
          <w:b/>
          <w:color w:val="000000"/>
          <w:sz w:val="22"/>
        </w:rPr>
        <w:t>Revenue:</w:t>
      </w:r>
      <w:r>
        <w:rPr>
          <w:color w:val="000000"/>
        </w:rPr>
        <w:t xml:space="preserve"> </w:t>
      </w:r>
      <w:r>
        <w:rPr>
          <w:rFonts w:ascii="Arial" w:hAnsi="Arial"/>
          <w:color w:val="000000"/>
          <w:sz w:val="22"/>
        </w:rPr>
        <w:t>$6.1 million</w:t>
      </w:r>
    </w:p>
    <w:p>
      <w:pPr>
        <w:pStyle w:val="TextBody"/>
        <w:bidi w:val="0"/>
        <w:spacing w:before="0" w:after="160"/>
        <w:jc w:val="left"/>
        <w:rPr>
          <w:color w:val="000000"/>
        </w:rPr>
      </w:pPr>
      <w:r>
        <w:rPr>
          <w:color w:val="000000"/>
        </w:rPr>
        <w:t>●</w:t>
      </w:r>
    </w:p>
    <w:p>
      <w:pPr>
        <w:pStyle w:val="TextBody"/>
        <w:bidi w:val="0"/>
        <w:spacing w:before="0" w:after="160"/>
        <w:jc w:val="left"/>
        <w:rPr/>
      </w:pPr>
      <w:r>
        <w:rPr>
          <w:rFonts w:ascii="Arial" w:hAnsi="Arial"/>
          <w:b/>
          <w:color w:val="000000"/>
          <w:sz w:val="22"/>
        </w:rPr>
        <w:t>Net Loss:</w:t>
      </w:r>
      <w:r>
        <w:rPr>
          <w:color w:val="000000"/>
        </w:rPr>
        <w:t xml:space="preserve"> </w:t>
      </w:r>
      <w:r>
        <w:rPr>
          <w:rFonts w:ascii="Arial" w:hAnsi="Arial"/>
          <w:color w:val="000000"/>
          <w:sz w:val="22"/>
        </w:rPr>
        <w:t>($9.7) million</w:t>
      </w:r>
    </w:p>
    <w:p>
      <w:pPr>
        <w:pStyle w:val="TextBody"/>
        <w:bidi w:val="0"/>
        <w:spacing w:before="0" w:after="160"/>
        <w:jc w:val="left"/>
        <w:rPr>
          <w:color w:val="000000"/>
        </w:rPr>
      </w:pPr>
      <w:r>
        <w:rPr>
          <w:color w:val="000000"/>
        </w:rPr>
        <w:t>●</w:t>
      </w:r>
    </w:p>
    <w:p>
      <w:pPr>
        <w:pStyle w:val="TextBody"/>
        <w:bidi w:val="0"/>
        <w:spacing w:before="0" w:after="160"/>
        <w:jc w:val="left"/>
        <w:rPr/>
      </w:pPr>
      <w:r>
        <w:rPr>
          <w:rFonts w:ascii="Arial" w:hAnsi="Arial"/>
          <w:b/>
          <w:color w:val="000000"/>
          <w:sz w:val="22"/>
        </w:rPr>
        <w:t>Adjusted EBITDA</w:t>
      </w:r>
      <w:r>
        <w:rPr>
          <w:rFonts w:ascii="Arial" w:hAnsi="Arial"/>
          <w:b/>
          <w:color w:val="000000"/>
          <w:sz w:val="15"/>
        </w:rPr>
        <w:t>2</w:t>
      </w:r>
      <w:r>
        <w:rPr>
          <w:color w:val="000000"/>
        </w:rPr>
        <w:t xml:space="preserve"> </w:t>
      </w:r>
      <w:r>
        <w:rPr>
          <w:rFonts w:ascii="Arial" w:hAnsi="Arial"/>
          <w:b/>
          <w:color w:val="000000"/>
          <w:sz w:val="22"/>
        </w:rPr>
        <w:t>(Loss):</w:t>
      </w:r>
      <w:r>
        <w:rPr>
          <w:color w:val="000000"/>
        </w:rPr>
        <w:t xml:space="preserve"> </w:t>
      </w:r>
      <w:r>
        <w:rPr>
          <w:rFonts w:ascii="Arial" w:hAnsi="Arial"/>
          <w:color w:val="000000"/>
          <w:sz w:val="22"/>
        </w:rPr>
        <w:t>($5.5) million</w:t>
      </w:r>
    </w:p>
    <w:p>
      <w:pPr>
        <w:pStyle w:val="TextBody"/>
        <w:bidi w:val="0"/>
        <w:spacing w:before="0" w:after="160"/>
        <w:jc w:val="left"/>
        <w:rPr>
          <w:color w:val="000000"/>
        </w:rPr>
      </w:pPr>
      <w:r>
        <w:rPr>
          <w:color w:val="000000"/>
        </w:rPr>
        <w:t>●</w:t>
      </w:r>
    </w:p>
    <w:p>
      <w:pPr>
        <w:pStyle w:val="TextBody"/>
        <w:bidi w:val="0"/>
        <w:spacing w:before="0" w:after="160"/>
        <w:jc w:val="left"/>
        <w:rPr/>
      </w:pPr>
      <w:r>
        <w:rPr>
          <w:rFonts w:ascii="Arial" w:hAnsi="Arial"/>
          <w:b/>
          <w:color w:val="000000"/>
          <w:sz w:val="22"/>
        </w:rPr>
        <w:t>Loss Per Share:</w:t>
      </w:r>
      <w:r>
        <w:rPr>
          <w:color w:val="000000"/>
        </w:rPr>
        <w:t xml:space="preserve"> </w:t>
      </w:r>
      <w:r>
        <w:rPr>
          <w:rFonts w:ascii="Arial" w:hAnsi="Arial"/>
          <w:color w:val="000000"/>
          <w:sz w:val="22"/>
        </w:rPr>
        <w:t>($0.19) per share</w:t>
      </w:r>
    </w:p>
    <w:p>
      <w:pPr>
        <w:pStyle w:val="TextBody"/>
        <w:bidi w:val="0"/>
        <w:spacing w:before="0" w:after="160"/>
        <w:jc w:val="left"/>
        <w:rPr>
          <w:color w:val="000000"/>
        </w:rPr>
      </w:pPr>
      <w:r>
        <w:rPr>
          <w:color w:val="000000"/>
        </w:rPr>
        <w:t>●</w:t>
      </w:r>
    </w:p>
    <w:p>
      <w:pPr>
        <w:pStyle w:val="TextBody"/>
        <w:bidi w:val="0"/>
        <w:spacing w:before="0" w:after="160"/>
        <w:jc w:val="left"/>
        <w:rPr/>
      </w:pPr>
      <w:r>
        <w:rPr>
          <w:rFonts w:ascii="Arial" w:hAnsi="Arial"/>
          <w:b/>
          <w:color w:val="000000"/>
          <w:sz w:val="22"/>
        </w:rPr>
        <w:t>Adjusted EBITDA (Loss) Per Share</w:t>
      </w:r>
      <w:r>
        <w:rPr>
          <w:rFonts w:ascii="Arial" w:hAnsi="Arial"/>
          <w:b/>
          <w:color w:val="000000"/>
          <w:sz w:val="15"/>
        </w:rPr>
        <w:t>2</w:t>
      </w:r>
      <w:r>
        <w:rPr>
          <w:rFonts w:ascii="Arial" w:hAnsi="Arial"/>
          <w:color w:val="000000"/>
          <w:sz w:val="22"/>
        </w:rPr>
        <w:t>: ($0.11) per share</w:t>
      </w:r>
    </w:p>
    <w:p>
      <w:pPr>
        <w:pStyle w:val="TextBody"/>
        <w:bidi w:val="0"/>
        <w:spacing w:before="0" w:after="160"/>
        <w:jc w:val="left"/>
        <w:rPr>
          <w:color w:val="000000"/>
        </w:rPr>
      </w:pPr>
      <w:r>
        <w:rPr>
          <w:color w:val="000000"/>
        </w:rPr>
        <w:t>●</w:t>
      </w:r>
    </w:p>
    <w:p>
      <w:pPr>
        <w:pStyle w:val="TextBody"/>
        <w:bidi w:val="0"/>
        <w:spacing w:before="0" w:after="160"/>
        <w:jc w:val="left"/>
        <w:rPr/>
      </w:pPr>
      <w:r>
        <w:rPr>
          <w:rFonts w:ascii="Arial" w:hAnsi="Arial"/>
          <w:b/>
          <w:color w:val="22272B"/>
          <w:sz w:val="22"/>
        </w:rPr>
        <w:t>Bitcoin Investment Treasury Holdings</w:t>
      </w:r>
      <w:r>
        <w:rPr>
          <w:rFonts w:ascii="Arial" w:hAnsi="Arial"/>
          <w:b/>
          <w:color w:val="22272B"/>
          <w:sz w:val="15"/>
        </w:rPr>
        <w:t>1</w:t>
      </w:r>
      <w:r>
        <w:rPr>
          <w:rFonts w:ascii="Arial" w:hAnsi="Arial"/>
          <w:b/>
          <w:color w:val="22272B"/>
          <w:sz w:val="22"/>
        </w:rPr>
        <w:t>:</w:t>
      </w:r>
      <w:r>
        <w:rPr>
          <w:color w:val="22272B"/>
        </w:rPr>
        <w:t xml:space="preserve"> </w:t>
      </w:r>
      <w:r>
        <w:rPr>
          <w:rFonts w:ascii="Arial" w:hAnsi="Arial"/>
          <w:color w:val="22272B"/>
          <w:sz w:val="22"/>
        </w:rPr>
        <w:t>194 BTC</w:t>
      </w:r>
    </w:p>
    <w:p>
      <w:pPr>
        <w:pStyle w:val="TextBody"/>
        <w:bidi w:val="0"/>
        <w:jc w:val="left"/>
        <w:rPr/>
      </w:pPr>
      <w:r>
        <w:rPr/>
        <w:t> </w:t>
      </w:r>
    </w:p>
    <w:p>
      <w:pPr>
        <w:pStyle w:val="TextBody"/>
        <w:bidi w:val="0"/>
        <w:spacing w:before="0" w:after="160"/>
        <w:jc w:val="left"/>
        <w:rPr>
          <w:rFonts w:ascii="Arial" w:hAnsi="Arial"/>
          <w:b/>
          <w:color w:val="000000"/>
          <w:sz w:val="22"/>
        </w:rPr>
      </w:pPr>
      <w:r>
        <w:rPr>
          <w:rFonts w:ascii="Arial" w:hAnsi="Arial"/>
          <w:b/>
          <w:color w:val="000000"/>
          <w:sz w:val="22"/>
        </w:rPr>
        <w:t>Q2 2026 Key Operating Metrics</w:t>
      </w:r>
    </w:p>
    <w:p>
      <w:pPr>
        <w:pStyle w:val="TextBody"/>
        <w:bidi w:val="0"/>
        <w:spacing w:before="0" w:after="160"/>
        <w:jc w:val="left"/>
        <w:rPr>
          <w:color w:val="000000"/>
        </w:rPr>
      </w:pPr>
      <w:r>
        <w:rPr>
          <w:color w:val="000000"/>
        </w:rPr>
        <w:t>●</w:t>
      </w:r>
    </w:p>
    <w:p>
      <w:pPr>
        <w:pStyle w:val="TextBody"/>
        <w:bidi w:val="0"/>
        <w:spacing w:before="0" w:after="160"/>
        <w:jc w:val="left"/>
        <w:rPr/>
      </w:pPr>
      <w:r>
        <w:rPr>
          <w:rFonts w:ascii="Arial" w:hAnsi="Arial"/>
          <w:b/>
          <w:color w:val="000000"/>
          <w:sz w:val="22"/>
        </w:rPr>
        <w:t>Total Transaction Volume:</w:t>
      </w:r>
      <w:r>
        <w:rPr>
          <w:color w:val="000000"/>
        </w:rPr>
        <w:t xml:space="preserve"> </w:t>
      </w:r>
      <w:r>
        <w:rPr>
          <w:rFonts w:ascii="Arial" w:hAnsi="Arial"/>
          <w:color w:val="000000"/>
          <w:sz w:val="22"/>
        </w:rPr>
        <w:t>$165 million</w:t>
      </w:r>
    </w:p>
    <w:p>
      <w:pPr>
        <w:pStyle w:val="TextBody"/>
        <w:bidi w:val="0"/>
        <w:spacing w:before="0" w:after="160"/>
        <w:jc w:val="left"/>
        <w:rPr>
          <w:color w:val="000000"/>
        </w:rPr>
      </w:pPr>
      <w:r>
        <w:rPr>
          <w:color w:val="000000"/>
        </w:rPr>
        <w:t>●</w:t>
      </w:r>
    </w:p>
    <w:p>
      <w:pPr>
        <w:pStyle w:val="TextBody"/>
        <w:bidi w:val="0"/>
        <w:spacing w:before="0" w:after="160"/>
        <w:jc w:val="left"/>
        <w:rPr/>
      </w:pPr>
      <w:r>
        <w:rPr>
          <w:rFonts w:ascii="Arial" w:hAnsi="Arial"/>
          <w:b/>
          <w:color w:val="000000"/>
          <w:sz w:val="22"/>
        </w:rPr>
        <w:t>Total Verified Accounts:</w:t>
      </w:r>
      <w:r>
        <w:rPr>
          <w:color w:val="000000"/>
        </w:rPr>
        <w:t xml:space="preserve"> </w:t>
      </w:r>
      <w:r>
        <w:rPr>
          <w:rFonts w:ascii="Arial" w:hAnsi="Arial"/>
          <w:color w:val="000000"/>
          <w:sz w:val="22"/>
        </w:rPr>
        <w:t>more than 87,000; added over 1,000 new verified accounts in the quarter</w:t>
      </w:r>
    </w:p>
    <w:p>
      <w:pPr>
        <w:pStyle w:val="TextBody"/>
        <w:bidi w:val="0"/>
        <w:spacing w:before="120" w:after="80"/>
        <w:jc w:val="left"/>
        <w:rPr>
          <w:rFonts w:ascii="Arial" w:hAnsi="Arial"/>
          <w:b/>
          <w:color w:val="000000"/>
          <w:sz w:val="26"/>
        </w:rPr>
      </w:pPr>
      <w:r>
        <w:rPr>
          <w:rFonts w:ascii="Arial" w:hAnsi="Arial"/>
          <w:b/>
          <w:color w:val="000000"/>
          <w:sz w:val="26"/>
        </w:rPr>
        <w:t>CEO Commentary</w:t>
      </w:r>
    </w:p>
    <w:p>
      <w:pPr>
        <w:pStyle w:val="TextBody"/>
        <w:bidi w:val="0"/>
        <w:jc w:val="left"/>
        <w:rPr>
          <w:color w:val="000000"/>
        </w:rPr>
      </w:pPr>
      <w:r>
        <w:rPr>
          <w:color w:val="000000"/>
        </w:rPr>
        <w:t>“</w:t>
      </w:r>
      <w:r>
        <w:rPr>
          <w:rFonts w:ascii="Arial" w:hAnsi="Arial"/>
          <w:color w:val="000000"/>
          <w:sz w:val="22"/>
        </w:rPr>
        <w:t>Fold enters the second half of the year with a stronger balance sheet, a growing Credit Card program, expanded banking and distribution capabilities, and much of the infrastructure needed to support our next generation of products,” said Fold Chairman and CEO Will Reeves. “Over the next few months, investors will begin to see these investments come together as we build toward our goal of becoming the most rewarding financial platform in America.”</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2"/>
        </w:rPr>
        <w:t>Mr. Reeves continued, “Fold is evolving from a transaction business into a broader financial services platform. Going forward, we intend to not only be the place where customers spend, but also be the place where they hold and manage their assets. Through our own programs and our partnership with Lead Bank, we expect customer balances to generate recurring economics that can help fund richer rewards. The power of asset-driven revenues has been demonstrated across businesses from</w:t>
      </w:r>
      <w:r>
        <w:rPr>
          <w:rFonts w:ascii="Times New Roman" w:hAnsi="Times New Roman"/>
          <w:color w:val="000000"/>
          <w:sz w:val="20"/>
        </w:rPr>
        <w:t xml:space="preserve">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center"/>
        <w:rPr/>
      </w:pPr>
      <w:r>
        <w:rPr/>
        <w:t> </w:t>
      </w:r>
    </w:p>
    <w:p>
      <w:pPr>
        <w:pStyle w:val="TextBody"/>
        <w:bidi w:val="0"/>
        <w:jc w:val="left"/>
        <w:rPr>
          <w:rFonts w:ascii="Arial" w:hAnsi="Arial"/>
          <w:color w:val="000000"/>
          <w:sz w:val="22"/>
        </w:rPr>
      </w:pPr>
      <w:r>
        <w:rPr>
          <w:rFonts w:ascii="Arial" w:hAnsi="Arial"/>
          <w:color w:val="000000"/>
          <w:sz w:val="22"/>
        </w:rPr>
        <w:t>Starbucks and Venmo, and we believe it can become an important part of Fold’s economic model.”</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He added, “Our proprietary bank-grade core ledger and Lead Bank partnership provide the foundation for this strategy, while expanding our addressable market beyond bitcoin-native customers to anyone looking for a more rewarding way to manage their money. Our conviction in bitcoin remains unchanged, but the opportunity for Fold is becoming significantly larger.”</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2"/>
        </w:rPr>
        <w:t>Mr. Reeves concluded, “Q2 remained challenging across the broader Bitcoin industry, with lower bitcoin prices pressuring transaction activity and consumer engagement. These are temporal challenges and do not reflect the underlying health and vitality of this industry. We believe Fold is entering its next chapter with a stronger business model, broader market and the foundation needed to pursue significantly greater scale.”</w:t>
      </w:r>
      <w:r>
        <w:rPr>
          <w:rFonts w:ascii="Times New Roman" w:hAnsi="Times New Roman"/>
          <w:color w:val="000000"/>
          <w:sz w:val="20"/>
        </w:rPr>
        <w:br/>
        <w:t> </w:t>
      </w:r>
    </w:p>
    <w:p>
      <w:pPr>
        <w:pStyle w:val="TextBody"/>
        <w:bidi w:val="0"/>
        <w:spacing w:before="280" w:after="80"/>
        <w:jc w:val="left"/>
        <w:rPr>
          <w:rFonts w:ascii="Arial" w:hAnsi="Arial"/>
          <w:b/>
          <w:color w:val="000000"/>
          <w:sz w:val="26"/>
        </w:rPr>
      </w:pPr>
      <w:r>
        <w:rPr>
          <w:rFonts w:ascii="Arial" w:hAnsi="Arial"/>
          <w:b/>
          <w:color w:val="000000"/>
          <w:sz w:val="26"/>
        </w:rPr>
        <w:t>Strategic &amp; Business Updates</w:t>
      </w:r>
    </w:p>
    <w:p>
      <w:pPr>
        <w:pStyle w:val="Heading2"/>
        <w:bidi w:val="0"/>
        <w:spacing w:before="280" w:after="80"/>
        <w:jc w:val="left"/>
        <w:rPr>
          <w:rFonts w:ascii="Arial" w:hAnsi="Arial"/>
          <w:color w:val="000000"/>
          <w:sz w:val="34"/>
        </w:rPr>
      </w:pPr>
      <w:r>
        <w:rPr>
          <w:rFonts w:ascii="Arial" w:hAnsi="Arial"/>
          <w:color w:val="000000"/>
          <w:sz w:val="34"/>
        </w:rPr>
        <w:t>Fold Credit Card</w:t>
      </w:r>
    </w:p>
    <w:p>
      <w:pPr>
        <w:pStyle w:val="TextBody"/>
        <w:bidi w:val="0"/>
        <w:spacing w:before="160" w:after="283"/>
        <w:jc w:val="left"/>
        <w:rPr>
          <w:color w:val="000000"/>
        </w:rPr>
      </w:pPr>
      <w:r>
        <w:rPr>
          <w:color w:val="000000"/>
        </w:rPr>
        <w:t>●</w:t>
      </w:r>
    </w:p>
    <w:p>
      <w:pPr>
        <w:pStyle w:val="TextBody"/>
        <w:bidi w:val="0"/>
        <w:spacing w:before="160" w:after="283"/>
        <w:jc w:val="left"/>
        <w:rPr>
          <w:rFonts w:ascii="Arial" w:hAnsi="Arial"/>
          <w:color w:val="000000"/>
          <w:sz w:val="22"/>
        </w:rPr>
      </w:pPr>
      <w:r>
        <w:rPr>
          <w:rFonts w:ascii="Arial" w:hAnsi="Arial"/>
          <w:color w:val="000000"/>
          <w:sz w:val="22"/>
        </w:rPr>
        <w:t>Currently in Early Access, with more than 2,000 cardholders as of August 11, 2026</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Cardholders more than doubled from last quarter</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Improved underwriting and operations ahead of broader rollout</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Interchange and financing economics meeting or exceeding expectations</w:t>
      </w:r>
    </w:p>
    <w:p>
      <w:pPr>
        <w:pStyle w:val="TextBody"/>
        <w:bidi w:val="0"/>
        <w:spacing w:before="0" w:after="240"/>
        <w:jc w:val="left"/>
        <w:rPr>
          <w:color w:val="000000"/>
        </w:rPr>
      </w:pPr>
      <w:r>
        <w:rPr>
          <w:color w:val="000000"/>
        </w:rPr>
        <w:t>●</w:t>
      </w:r>
    </w:p>
    <w:p>
      <w:pPr>
        <w:pStyle w:val="TextBody"/>
        <w:bidi w:val="0"/>
        <w:spacing w:before="0" w:after="240"/>
        <w:jc w:val="left"/>
        <w:rPr>
          <w:rFonts w:ascii="Arial" w:hAnsi="Arial"/>
          <w:color w:val="000000"/>
          <w:sz w:val="22"/>
        </w:rPr>
      </w:pPr>
      <w:r>
        <w:rPr>
          <w:rFonts w:ascii="Arial" w:hAnsi="Arial"/>
          <w:color w:val="000000"/>
          <w:sz w:val="22"/>
        </w:rPr>
        <w:t>Positioned to become a customer acquisition engine</w:t>
      </w:r>
    </w:p>
    <w:p>
      <w:pPr>
        <w:pStyle w:val="TextBody"/>
        <w:pBdr>
          <w:bottom w:val="single" w:sz="8" w:space="1" w:color="A0A0A0"/>
        </w:pBdr>
        <w:bidi w:val="0"/>
        <w:jc w:val="left"/>
        <w:rPr/>
      </w:pPr>
      <w:r>
        <w:rPr/>
        <w:t> </w:t>
      </w:r>
    </w:p>
    <w:p>
      <w:pPr>
        <w:pStyle w:val="Heading2"/>
        <w:bidi w:val="0"/>
        <w:spacing w:before="360" w:after="80"/>
        <w:jc w:val="left"/>
        <w:rPr>
          <w:rFonts w:ascii="Arial" w:hAnsi="Arial"/>
          <w:color w:val="000000"/>
          <w:sz w:val="34"/>
        </w:rPr>
      </w:pPr>
      <w:r>
        <w:rPr>
          <w:rFonts w:ascii="Arial" w:hAnsi="Arial"/>
          <w:color w:val="000000"/>
          <w:sz w:val="34"/>
        </w:rPr>
        <w:t>Platform Expansion</w:t>
      </w:r>
    </w:p>
    <w:p>
      <w:pPr>
        <w:pStyle w:val="TextBody"/>
        <w:bidi w:val="0"/>
        <w:spacing w:before="40" w:after="283"/>
        <w:jc w:val="left"/>
        <w:rPr>
          <w:color w:val="000000"/>
        </w:rPr>
      </w:pPr>
      <w:r>
        <w:rPr>
          <w:color w:val="000000"/>
        </w:rPr>
        <w:t>●</w:t>
      </w:r>
    </w:p>
    <w:p>
      <w:pPr>
        <w:pStyle w:val="TextBody"/>
        <w:bidi w:val="0"/>
        <w:spacing w:before="40" w:after="283"/>
        <w:jc w:val="left"/>
        <w:rPr>
          <w:rFonts w:ascii="Arial" w:hAnsi="Arial"/>
          <w:color w:val="000000"/>
          <w:sz w:val="22"/>
        </w:rPr>
      </w:pPr>
      <w:r>
        <w:rPr>
          <w:rFonts w:ascii="Arial" w:hAnsi="Arial"/>
          <w:color w:val="000000"/>
          <w:sz w:val="22"/>
        </w:rPr>
        <w:t>Working to expand into financial services designed to deepen customer relationships and grow assets held across Fold</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Lead Bank partnership expands banking capabilities and enables Fold to participate in the economics of customer deposits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Bank-grade core ledger provides the foundation for Fold’s multi-asset financial platform</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Customer balance economics expected to generate recurring revenues</w:t>
      </w:r>
    </w:p>
    <w:p>
      <w:pPr>
        <w:pStyle w:val="TextBody"/>
        <w:bidi w:val="0"/>
        <w:spacing w:before="0" w:after="240"/>
        <w:jc w:val="left"/>
        <w:rPr>
          <w:color w:val="000000"/>
        </w:rPr>
      </w:pPr>
      <w:r>
        <w:rPr>
          <w:color w:val="000000"/>
        </w:rPr>
        <w:t>●</w:t>
      </w:r>
    </w:p>
    <w:p>
      <w:pPr>
        <w:pStyle w:val="TextBody"/>
        <w:bidi w:val="0"/>
        <w:spacing w:before="0" w:after="240"/>
        <w:jc w:val="left"/>
        <w:rPr>
          <w:rFonts w:ascii="Arial" w:hAnsi="Arial"/>
          <w:color w:val="000000"/>
          <w:sz w:val="22"/>
        </w:rPr>
      </w:pPr>
      <w:r>
        <w:rPr>
          <w:rFonts w:ascii="Arial" w:hAnsi="Arial"/>
          <w:color w:val="000000"/>
          <w:sz w:val="22"/>
        </w:rPr>
        <w:t>Platform expansion expected to broaden Fold’s total addressable market ("TAM") beyond bitcoin-native customers</w:t>
      </w:r>
    </w:p>
    <w:p>
      <w:pPr>
        <w:pStyle w:val="TextBody"/>
        <w:pBdr>
          <w:bottom w:val="single" w:sz="8" w:space="1" w:color="A0A0A0"/>
        </w:pBdr>
        <w:bidi w:val="0"/>
        <w:jc w:val="left"/>
        <w:rPr/>
      </w:pPr>
      <w:r>
        <w:rPr/>
        <w:t> </w:t>
      </w:r>
    </w:p>
    <w:p>
      <w:pPr>
        <w:pStyle w:val="Heading2"/>
        <w:bidi w:val="0"/>
        <w:spacing w:before="360" w:after="80"/>
        <w:jc w:val="left"/>
        <w:rPr>
          <w:rFonts w:ascii="Arial" w:hAnsi="Arial"/>
          <w:color w:val="000000"/>
          <w:sz w:val="34"/>
        </w:rPr>
      </w:pPr>
      <w:r>
        <w:rPr>
          <w:rFonts w:ascii="Arial" w:hAnsi="Arial"/>
          <w:color w:val="000000"/>
          <w:sz w:val="34"/>
        </w:rPr>
        <w:t>Bitcoin Gift Card</w:t>
      </w:r>
    </w:p>
    <w:p>
      <w:pPr>
        <w:pStyle w:val="TextBody"/>
        <w:bidi w:val="0"/>
        <w:spacing w:before="40" w:after="283"/>
        <w:jc w:val="left"/>
        <w:rPr>
          <w:color w:val="000000"/>
        </w:rPr>
      </w:pPr>
      <w:r>
        <w:rPr>
          <w:color w:val="000000"/>
        </w:rPr>
        <w:t>●</w:t>
      </w:r>
    </w:p>
    <w:p>
      <w:pPr>
        <w:pStyle w:val="TextBody"/>
        <w:bidi w:val="0"/>
        <w:spacing w:before="40" w:after="283"/>
        <w:jc w:val="left"/>
        <w:rPr>
          <w:rFonts w:ascii="Arial" w:hAnsi="Arial"/>
          <w:color w:val="000000"/>
          <w:sz w:val="22"/>
        </w:rPr>
      </w:pPr>
      <w:r>
        <w:rPr>
          <w:rFonts w:ascii="Arial" w:hAnsi="Arial"/>
          <w:color w:val="000000"/>
          <w:sz w:val="22"/>
        </w:rPr>
        <w:t>Expanded distribution through TikTok Shop, reaching millions of potential shoppers</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22"/>
        </w:rPr>
      </w:pPr>
      <w:r>
        <w:rPr>
          <w:rFonts w:ascii="Arial" w:hAnsi="Arial"/>
          <w:color w:val="000000"/>
          <w:sz w:val="22"/>
        </w:rPr>
        <w:t>Kroger renewed its commitment to the Fold program</w:t>
      </w:r>
    </w:p>
    <w:p>
      <w:pPr>
        <w:pStyle w:val="TextBody"/>
        <w:bidi w:val="0"/>
        <w:jc w:val="left"/>
        <w:rPr/>
      </w:pPr>
      <w:r>
        <w:rPr/>
        <w:t> </w:t>
      </w:r>
    </w:p>
    <w:p>
      <w:pPr>
        <w:pStyle w:val="TextBody"/>
        <w:pBdr>
          <w:bottom w:val="single" w:sz="8" w:space="1" w:color="A0A0A0"/>
        </w:pBdr>
        <w:bidi w:val="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center"/>
        <w:rPr/>
      </w:pPr>
      <w:r>
        <w:rPr/>
        <w:t> </w:t>
      </w:r>
    </w:p>
    <w:p>
      <w:pPr>
        <w:pStyle w:val="Heading2"/>
        <w:bidi w:val="0"/>
        <w:spacing w:before="360" w:after="80"/>
        <w:jc w:val="left"/>
        <w:rPr>
          <w:rFonts w:ascii="Arial" w:hAnsi="Arial"/>
          <w:color w:val="000000"/>
          <w:sz w:val="34"/>
        </w:rPr>
      </w:pPr>
      <w:r>
        <w:rPr>
          <w:rFonts w:ascii="Arial" w:hAnsi="Arial"/>
          <w:color w:val="000000"/>
          <w:sz w:val="34"/>
        </w:rPr>
        <w:t>Capital &amp; Balance Sheet</w:t>
      </w:r>
    </w:p>
    <w:p>
      <w:pPr>
        <w:pStyle w:val="TextBody"/>
        <w:bidi w:val="0"/>
        <w:spacing w:before="160" w:after="283"/>
        <w:jc w:val="left"/>
        <w:rPr>
          <w:color w:val="000000"/>
        </w:rPr>
      </w:pPr>
      <w:r>
        <w:rPr>
          <w:color w:val="000000"/>
        </w:rPr>
        <w:t>●</w:t>
      </w:r>
    </w:p>
    <w:p>
      <w:pPr>
        <w:pStyle w:val="TextBody"/>
        <w:bidi w:val="0"/>
        <w:spacing w:before="160" w:after="283"/>
        <w:jc w:val="left"/>
        <w:rPr>
          <w:rFonts w:ascii="Arial" w:hAnsi="Arial"/>
          <w:color w:val="000000"/>
          <w:sz w:val="22"/>
        </w:rPr>
      </w:pPr>
      <w:r>
        <w:rPr>
          <w:rFonts w:ascii="Arial" w:hAnsi="Arial"/>
          <w:color w:val="000000"/>
          <w:sz w:val="22"/>
        </w:rPr>
        <w:t>Monetized a portion of the Company’s bitcoin treasury while maintaining a meaningful bitcoin position</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Eliminated approximately $20 million of secured debt and approximately $145 thousand of monthly interest expense</w:t>
      </w:r>
    </w:p>
    <w:p>
      <w:pPr>
        <w:pStyle w:val="TextBody"/>
        <w:bidi w:val="0"/>
        <w:spacing w:before="0" w:after="240"/>
        <w:jc w:val="left"/>
        <w:rPr>
          <w:color w:val="000000"/>
        </w:rPr>
      </w:pPr>
      <w:r>
        <w:rPr>
          <w:color w:val="000000"/>
        </w:rPr>
        <w:t>●</w:t>
      </w:r>
    </w:p>
    <w:p>
      <w:pPr>
        <w:pStyle w:val="TextBody"/>
        <w:bidi w:val="0"/>
        <w:spacing w:before="0" w:after="240"/>
        <w:jc w:val="left"/>
        <w:rPr>
          <w:rFonts w:ascii="Arial" w:hAnsi="Arial"/>
          <w:color w:val="000000"/>
          <w:sz w:val="22"/>
        </w:rPr>
      </w:pPr>
      <w:r>
        <w:rPr>
          <w:rFonts w:ascii="Arial" w:hAnsi="Arial"/>
          <w:color w:val="000000"/>
          <w:sz w:val="22"/>
        </w:rPr>
        <w:t>Added approximately $25 million of unrestricted capital</w:t>
      </w:r>
    </w:p>
    <w:p>
      <w:pPr>
        <w:pStyle w:val="TextBody"/>
        <w:pBdr>
          <w:bottom w:val="single" w:sz="8" w:space="1" w:color="A0A0A0"/>
        </w:pBdr>
        <w:bidi w:val="0"/>
        <w:jc w:val="left"/>
        <w:rPr/>
      </w:pPr>
      <w:r>
        <w:rPr/>
        <w:t> </w:t>
      </w:r>
    </w:p>
    <w:p>
      <w:pPr>
        <w:pStyle w:val="TextBody"/>
        <w:bidi w:val="0"/>
        <w:spacing w:before="280" w:after="283"/>
        <w:jc w:val="left"/>
        <w:rPr>
          <w:rFonts w:ascii="Arial" w:hAnsi="Arial"/>
          <w:b/>
          <w:color w:val="000000"/>
          <w:sz w:val="22"/>
        </w:rPr>
      </w:pPr>
      <w:r>
        <w:rPr>
          <w:rFonts w:ascii="Arial" w:hAnsi="Arial"/>
          <w:b/>
          <w:color w:val="000000"/>
          <w:sz w:val="22"/>
        </w:rPr>
        <w:t>Earnings Call and Webcast Information:</w:t>
      </w:r>
    </w:p>
    <w:p>
      <w:pPr>
        <w:pStyle w:val="TextBody"/>
        <w:bidi w:val="0"/>
        <w:spacing w:before="0" w:after="280"/>
        <w:jc w:val="left"/>
        <w:rPr>
          <w:rFonts w:ascii="Times New Roman" w:hAnsi="Times New Roman"/>
          <w:sz w:val="20"/>
        </w:rPr>
      </w:pPr>
      <w:r>
        <w:rPr>
          <w:rFonts w:ascii="Times New Roman" w:hAnsi="Times New Roman"/>
          <w:color w:val="000000"/>
          <w:sz w:val="24"/>
        </w:rPr>
        <w:br/>
      </w:r>
      <w:r>
        <w:rPr>
          <w:rFonts w:ascii="Arial" w:hAnsi="Arial"/>
          <w:color w:val="000000"/>
          <w:sz w:val="22"/>
        </w:rPr>
        <w:t>Fold will host a conference call at 5:00 p.m. Eastern Time today, which will include a brief discussion of results followed by a question-and-answer period. To participate in this event, please log on or dial in approximately 5 minutes before the beginning of the call.</w:t>
      </w:r>
    </w:p>
    <w:p>
      <w:pPr>
        <w:pStyle w:val="TextBody"/>
        <w:bidi w:val="0"/>
        <w:jc w:val="left"/>
        <w:rPr>
          <w:rFonts w:ascii="Times New Roman" w:hAnsi="Times New Roman"/>
          <w:sz w:val="20"/>
        </w:rPr>
      </w:pPr>
      <w:r>
        <w:rPr>
          <w:rFonts w:ascii="Arial" w:hAnsi="Arial"/>
          <w:b/>
          <w:color w:val="000000"/>
          <w:sz w:val="22"/>
        </w:rPr>
        <w:t>Date</w:t>
      </w:r>
      <w:r>
        <w:rPr>
          <w:rFonts w:ascii="Arial" w:hAnsi="Arial"/>
          <w:color w:val="000000"/>
          <w:sz w:val="22"/>
        </w:rPr>
        <w:t>: August 11, 2026</w:t>
      </w:r>
    </w:p>
    <w:p>
      <w:pPr>
        <w:pStyle w:val="TextBody"/>
        <w:bidi w:val="0"/>
        <w:jc w:val="left"/>
        <w:rPr>
          <w:rFonts w:ascii="Times New Roman" w:hAnsi="Times New Roman"/>
          <w:sz w:val="20"/>
        </w:rPr>
      </w:pPr>
      <w:r>
        <w:rPr>
          <w:rFonts w:ascii="Arial" w:hAnsi="Arial"/>
          <w:b/>
          <w:color w:val="000000"/>
          <w:sz w:val="22"/>
        </w:rPr>
        <w:t>Time</w:t>
      </w:r>
      <w:r>
        <w:rPr>
          <w:rFonts w:ascii="Arial" w:hAnsi="Arial"/>
          <w:color w:val="000000"/>
          <w:sz w:val="22"/>
        </w:rPr>
        <w:t>: 5:00 p.m. ET</w:t>
      </w:r>
    </w:p>
    <w:p>
      <w:pPr>
        <w:pStyle w:val="TextBody"/>
        <w:bidi w:val="0"/>
        <w:spacing w:before="0" w:after="200"/>
        <w:jc w:val="left"/>
        <w:rPr>
          <w:rFonts w:ascii="Times New Roman" w:hAnsi="Times New Roman"/>
          <w:sz w:val="20"/>
        </w:rPr>
      </w:pPr>
      <w:r>
        <w:rPr>
          <w:rFonts w:ascii="Arial" w:hAnsi="Arial"/>
          <w:b/>
          <w:color w:val="000000"/>
          <w:sz w:val="22"/>
        </w:rPr>
        <w:t>Participant Call Links</w:t>
      </w:r>
      <w:r>
        <w:rPr>
          <w:rFonts w:ascii="Arial" w:hAnsi="Arial"/>
          <w:color w:val="000000"/>
          <w:sz w:val="22"/>
        </w:rPr>
        <w:t>:</w:t>
      </w:r>
    </w:p>
    <w:p>
      <w:pPr>
        <w:pStyle w:val="TextBody"/>
        <w:bidi w:val="0"/>
        <w:spacing w:before="0" w:after="0"/>
        <w:jc w:val="left"/>
        <w:rPr>
          <w:color w:val="000000"/>
        </w:rPr>
      </w:pPr>
      <w:r>
        <w:rPr>
          <w:color w:val="000000"/>
        </w:rPr>
        <w:t>●</w:t>
      </w:r>
    </w:p>
    <w:p>
      <w:pPr>
        <w:pStyle w:val="TextBody"/>
        <w:bidi w:val="0"/>
        <w:spacing w:before="0" w:after="0"/>
        <w:jc w:val="left"/>
        <w:rPr/>
      </w:pPr>
      <w:r>
        <w:rPr>
          <w:rFonts w:ascii="Arial" w:hAnsi="Arial"/>
          <w:color w:val="000000"/>
          <w:sz w:val="22"/>
        </w:rPr>
        <w:t>Live Webcast:</w:t>
      </w:r>
      <w:r>
        <w:rPr>
          <w:color w:val="467886"/>
        </w:rPr>
        <w:t xml:space="preserve"> </w:t>
      </w:r>
      <w:r>
        <w:rPr>
          <w:rFonts w:ascii="Arial" w:hAnsi="Arial"/>
          <w:sz w:val="22"/>
        </w:rPr>
        <w:t>Link</w:t>
      </w:r>
      <w:r>
        <w:rPr>
          <w:color w:val="000000"/>
        </w:rPr>
        <w:t xml:space="preserve"> </w:t>
      </w:r>
    </w:p>
    <w:p>
      <w:pPr>
        <w:pStyle w:val="TextBody"/>
        <w:bidi w:val="0"/>
        <w:spacing w:before="0" w:after="0"/>
        <w:jc w:val="left"/>
        <w:rPr>
          <w:color w:val="000000"/>
        </w:rPr>
      </w:pPr>
      <w:r>
        <w:rPr>
          <w:color w:val="000000"/>
        </w:rPr>
        <w:t>●</w:t>
      </w:r>
    </w:p>
    <w:p>
      <w:pPr>
        <w:pStyle w:val="TextBody"/>
        <w:bidi w:val="0"/>
        <w:spacing w:before="0" w:after="0"/>
        <w:jc w:val="left"/>
        <w:rPr/>
      </w:pPr>
      <w:r>
        <w:rPr>
          <w:rFonts w:ascii="Arial" w:hAnsi="Arial"/>
          <w:color w:val="000000"/>
          <w:sz w:val="22"/>
        </w:rPr>
        <w:t xml:space="preserve">Dial-in Registration Link: </w:t>
      </w:r>
      <w:r>
        <w:rPr>
          <w:rFonts w:ascii="Arial" w:hAnsi="Arial"/>
          <w:sz w:val="22"/>
        </w:rPr>
        <w:t>Link</w:t>
      </w:r>
    </w:p>
    <w:p>
      <w:pPr>
        <w:pStyle w:val="TextBody"/>
        <w:bidi w:val="0"/>
        <w:spacing w:before="0" w:after="0"/>
        <w:jc w:val="left"/>
        <w:rPr>
          <w:color w:val="000000"/>
        </w:rPr>
      </w:pPr>
      <w:r>
        <w:rPr>
          <w:color w:val="000000"/>
        </w:rPr>
        <w:t>●</w:t>
      </w:r>
    </w:p>
    <w:p>
      <w:pPr>
        <w:pStyle w:val="TextBody"/>
        <w:bidi w:val="0"/>
        <w:jc w:val="left"/>
        <w:rPr/>
      </w:pPr>
      <w:r>
        <w:rPr>
          <w:rFonts w:ascii="Arial" w:hAnsi="Arial"/>
          <w:color w:val="000000"/>
          <w:sz w:val="22"/>
        </w:rPr>
        <w:t xml:space="preserve">A replay of the call will be archived at </w:t>
      </w:r>
      <w:r>
        <w:rPr>
          <w:rFonts w:ascii="Arial" w:hAnsi="Arial"/>
          <w:sz w:val="22"/>
        </w:rPr>
        <w:t>https://investor.foldapp.com</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Footnotes</w:t>
      </w:r>
    </w:p>
    <w:p>
      <w:pPr>
        <w:pStyle w:val="TextBody"/>
        <w:bidi w:val="0"/>
        <w:jc w:val="left"/>
        <w:rPr/>
      </w:pPr>
      <w:r>
        <w:rPr/>
        <w:t> </w:t>
      </w:r>
    </w:p>
    <w:p>
      <w:pPr>
        <w:pStyle w:val="TextBody"/>
        <w:bidi w:val="0"/>
        <w:spacing w:before="0" w:after="200"/>
        <w:jc w:val="left"/>
        <w:rPr>
          <w:rFonts w:ascii="Times New Roman" w:hAnsi="Times New Roman"/>
          <w:sz w:val="20"/>
        </w:rPr>
      </w:pPr>
      <w:r>
        <w:rPr>
          <w:rFonts w:ascii="Arial" w:hAnsi="Arial"/>
          <w:i/>
          <w:color w:val="000000"/>
          <w:sz w:val="15"/>
        </w:rPr>
        <w:t xml:space="preserve">1 </w:t>
      </w:r>
      <w:r>
        <w:rPr>
          <w:rFonts w:ascii="Arial" w:hAnsi="Arial"/>
          <w:color w:val="000000"/>
          <w:sz w:val="22"/>
        </w:rPr>
        <w:t>Fold’s Bitcoin Investment Treasury was 194 BTC as of June 30, 2026.</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i/>
          <w:color w:val="000000"/>
          <w:sz w:val="15"/>
        </w:rPr>
        <w:t xml:space="preserve">2 </w:t>
      </w:r>
      <w:r>
        <w:rPr>
          <w:rFonts w:ascii="Arial" w:hAnsi="Arial"/>
          <w:color w:val="000000"/>
          <w:sz w:val="22"/>
        </w:rPr>
        <w:t>Adjusted EBITDA and Adjusted EBITDA Per Share are financial measures not presented in accordance with generally accepted accounting principles (“GAAP”) (a “Non-GAAP Financial Measure”). Please see “Non-GAAP Financial Measures” at the end of this press release.</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About Fold:</w:t>
      </w:r>
    </w:p>
    <w:p>
      <w:pPr>
        <w:pStyle w:val="TextBody"/>
        <w:bidi w:val="0"/>
        <w:jc w:val="left"/>
        <w:rPr>
          <w:rFonts w:ascii="Times New Roman" w:hAnsi="Times New Roman"/>
          <w:sz w:val="20"/>
        </w:rPr>
      </w:pPr>
      <w:r>
        <w:rPr>
          <w:rFonts w:ascii="Arial" w:hAnsi="Arial"/>
          <w:color w:val="000000"/>
          <w:sz w:val="22"/>
        </w:rPr>
        <w:br/>
        <w:t>Fold (NASDAQ: FLD) is the first publicly traded bitcoin financial services company, making it easy for individuals and businesses to earn, save, and use bitcoin. Fold has built a financial services platform that operates across both U.S. dollars and bitcoin, and is designed to connect these systems in a seamless manner. Fold’s consumer offerings include an FDIC-insured checking account, a Visa debit card (the "Fold Debit Card"), a Visa credit card (the "Fold Credit Card"), bill payment services, a bitcoin gift card, and an extensive catalog of merchant reward offers. The Company also offers various forms of bitcoin buying and selling with low-to-zero fees and insured custody.</w:t>
      </w:r>
      <w:r>
        <w:rPr>
          <w:rFonts w:ascii="Times New Roman" w:hAnsi="Times New Roman"/>
          <w:color w:val="000000"/>
          <w:sz w:val="20"/>
        </w:rPr>
        <w:t xml:space="preserve"> </w:t>
      </w:r>
    </w:p>
    <w:p>
      <w:pPr>
        <w:pStyle w:val="TextBody"/>
        <w:bidi w:val="0"/>
        <w:jc w:val="left"/>
        <w:rPr/>
      </w:pPr>
      <w:r>
        <w:rPr/>
        <w:t> </w:t>
      </w:r>
    </w:p>
    <w:p>
      <w:pPr>
        <w:pStyle w:val="TextBody"/>
        <w:bidi w:val="0"/>
        <w:spacing w:before="0" w:after="160"/>
        <w:jc w:val="left"/>
        <w:rPr>
          <w:rFonts w:ascii="Times New Roman" w:hAnsi="Times New Roman"/>
          <w:sz w:val="20"/>
        </w:rPr>
      </w:pPr>
      <w:r>
        <w:rPr>
          <w:rFonts w:ascii="Aptos;sans-serif" w:hAnsi="Aptos;sans-serif"/>
          <w:color w:val="000000"/>
          <w:sz w:val="24"/>
        </w:rPr>
        <w:br/>
      </w:r>
      <w:r>
        <w:rPr>
          <w:rFonts w:ascii="Arial" w:hAnsi="Arial"/>
          <w:b/>
          <w:color w:val="000000"/>
          <w:sz w:val="22"/>
        </w:rPr>
        <w:t>Forward-Looking Statements:</w:t>
      </w:r>
    </w:p>
    <w:p>
      <w:pPr>
        <w:pStyle w:val="TextBody"/>
        <w:bidi w:val="0"/>
        <w:spacing w:before="0" w:after="160"/>
        <w:jc w:val="left"/>
        <w:rPr>
          <w:rFonts w:ascii="Times New Roman" w:hAnsi="Times New Roman"/>
          <w:sz w:val="20"/>
        </w:rPr>
      </w:pPr>
      <w:r>
        <w:rPr>
          <w:rFonts w:ascii="Arial" w:hAnsi="Arial"/>
          <w:b/>
          <w:color w:val="000000"/>
          <w:sz w:val="22"/>
        </w:rPr>
        <w:br/>
      </w:r>
      <w:r>
        <w:rPr>
          <w:rFonts w:ascii="Arial" w:hAnsi="Arial"/>
          <w:color w:val="000000"/>
          <w:sz w:val="22"/>
        </w:rPr>
        <w:t>The information in this press release includes “forward-looking statements” within the meaning of the federal securities laws. All statements that are not statements of historical fact are forward-looking statements. Forward-looking statements may be identified by the use of words such as “may,” “could,” “would,” “should,” “predict,” “estimate,” “plan,” “project,” “forecast,” “intend,” “will,” “expect,” “anticipate,” “believe,” or other similar expressions that predict or indicate future events or trends or</w:t>
      </w:r>
      <w:r>
        <w:rPr>
          <w:rFonts w:ascii="Times New Roman" w:hAnsi="Times New Roman"/>
          <w:color w:val="000000"/>
          <w:sz w:val="20"/>
        </w:rPr>
        <w:t xml:space="preserve">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center"/>
        <w:rPr/>
      </w:pPr>
      <w:r>
        <w:rPr/>
        <w:t> </w:t>
      </w:r>
    </w:p>
    <w:p>
      <w:pPr>
        <w:pStyle w:val="TextBody"/>
        <w:bidi w:val="0"/>
        <w:spacing w:before="0" w:after="160"/>
        <w:jc w:val="left"/>
        <w:rPr>
          <w:rFonts w:ascii="Arial" w:hAnsi="Arial"/>
          <w:color w:val="000000"/>
          <w:sz w:val="22"/>
        </w:rPr>
      </w:pPr>
      <w:r>
        <w:rPr>
          <w:rFonts w:ascii="Arial" w:hAnsi="Arial"/>
          <w:color w:val="000000"/>
          <w:sz w:val="22"/>
        </w:rPr>
        <w:t>that are not statements of historical matters. These forward-looking statements include statements regarding the rollout, development and expected effect of Fold’s credit card program, gift card and other products, and the potential success of Fold’s overall market, product and growth strategies. These statements are based on assumptions and on the current expectations of Fold’s management and are not predictions of actual performance. Many actual events and circumstances are beyond the control of Fold. These forward-looking statements are subject to a number of risks and uncertainties, including: (i) changes in domestic and foreign business, market, financial, political and legal conditions, including but not limited to changes in the acceptance of bitcoin; (ii) our continued ability to implement business plans; (iii) the risk of downturns, new entrants and a changing regulatory landscape in the highly competitive industry in which Fold operates; (iv) volatility in the market price of bitcoin; (v) access to and reliance on funding for our products, including the credit card, and general operations; (vi) access to and reliance on third parties for their services related to certain of our products, including risks relating to Fold having a single custodian for our bitcoin; (vii) reliance on banking partners which are subject to complex and demanding regulations and compliance standards; and (viii) those risks and uncertainties discussed in Fold Holdings, Inc.’s filings with the Securities and Exchange Commission. If any of these risks materialize or Fold’s assumptions prove incorrect, actual results could differ materially from the results implied by these forward-looking statements. While Fold may elect to update these forward-looking statements at some point in the future, Fold specifically disclaims any obligation to do so, except as required by law.</w:t>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center"/>
        <w:rPr/>
      </w:pPr>
      <w:r>
        <w:rPr/>
        <w:t> </w:t>
      </w:r>
    </w:p>
    <w:p>
      <w:pPr>
        <w:pStyle w:val="TextBody"/>
        <w:bidi w:val="0"/>
        <w:jc w:val="center"/>
        <w:rPr>
          <w:rFonts w:ascii="Arial" w:hAnsi="Arial"/>
          <w:b/>
          <w:color w:val="000000"/>
          <w:sz w:val="22"/>
        </w:rPr>
      </w:pPr>
      <w:r>
        <w:rPr>
          <w:rFonts w:ascii="Arial" w:hAnsi="Arial"/>
          <w:b/>
          <w:color w:val="000000"/>
          <w:sz w:val="22"/>
        </w:rPr>
        <w:t>Fold Holdings, Inc. Condensed Balance Sheets (Unaudited)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532"/>
        <w:gridCol w:w="146"/>
        <w:gridCol w:w="211"/>
        <w:gridCol w:w="1201"/>
        <w:gridCol w:w="166"/>
        <w:gridCol w:w="146"/>
        <w:gridCol w:w="211"/>
        <w:gridCol w:w="1201"/>
        <w:gridCol w:w="391"/>
      </w:tblGrid>
      <w:tr>
        <w:trPr/>
        <w:tc>
          <w:tcPr>
            <w:tcW w:w="65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5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28,386,785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7,652,203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614,801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728,001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Credit card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2,753,588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847,308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478,045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Digital assets - rewards treasury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4,504,290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6,872,869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1,913,981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2,384,684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39,020,753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18,115,802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Digital assets - investment treasury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11,356,023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133,658,791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Capitalized software development costs,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1,986,251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1,393,752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131,770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299,309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52,494,797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153,467,654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698,556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704,789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1,992,004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3,166,186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legal settlement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1,374,828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February 2026 note - related party,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12,446,041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10,000,000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Customer rewards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4,504,290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6,872,869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228,148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366,252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21,243,867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21,110,096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5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June 2025 convertible note,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21,469,675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March 2025 convertible note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47,207,556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689,680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21,243,867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90,477,007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5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Commitments and contingencies (Note 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$0.0001 par value; 20,000,000 shares authorized, 0 shares issued and outstanding at June 30, 2026 and 0 shares issued and 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$0.0001 par value; 600,000,000 shares authorized, 55,407,302 shares issued and 55,021,701 shares outstanding at June 30, 2026 and 48,477,883 shares issued and 48,419,266 shares outstanding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241,003,835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233,924,782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(209,758,447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(170,938,984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31,250,930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62,990,647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52,494,797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153,467,654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center"/>
        <w:rPr/>
      </w:pPr>
      <w:r>
        <w:rPr/>
        <w:t> </w:t>
      </w:r>
    </w:p>
    <w:p>
      <w:pPr>
        <w:pStyle w:val="TextBody"/>
        <w:bidi w:val="0"/>
        <w:jc w:val="center"/>
        <w:rPr>
          <w:rFonts w:ascii="Arial" w:hAnsi="Arial"/>
          <w:b/>
          <w:color w:val="000000"/>
          <w:sz w:val="22"/>
        </w:rPr>
      </w:pPr>
      <w:r>
        <w:rPr>
          <w:rFonts w:ascii="Arial" w:hAnsi="Arial"/>
          <w:b/>
          <w:color w:val="000000"/>
          <w:sz w:val="22"/>
        </w:rPr>
        <w:t>Fold Holdings, Inc. Condensed Statements of Operations (Unaudited)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224"/>
        <w:gridCol w:w="446"/>
        <w:gridCol w:w="211"/>
        <w:gridCol w:w="1036"/>
        <w:gridCol w:w="166"/>
        <w:gridCol w:w="146"/>
        <w:gridCol w:w="211"/>
        <w:gridCol w:w="1036"/>
        <w:gridCol w:w="166"/>
        <w:gridCol w:w="146"/>
        <w:gridCol w:w="211"/>
        <w:gridCol w:w="1096"/>
        <w:gridCol w:w="166"/>
        <w:gridCol w:w="146"/>
        <w:gridCol w:w="211"/>
        <w:gridCol w:w="1096"/>
        <w:gridCol w:w="491"/>
      </w:tblGrid>
      <w:tr>
        <w:trPr/>
        <w:tc>
          <w:tcPr>
            <w:tcW w:w="322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 net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6,089,909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8,175,926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11,682,218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15,263,763</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Banking and payments costs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5,108,245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7,682,621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9,914,619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14,441,545</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Custody and trading costs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739,039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1,337,454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188,596</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Compensation and benefits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3,790,067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3,676,657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7,824,334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10,134,597</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Marketing expenses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728,338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620,923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996,446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1,020,721</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Professional fees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1,255,832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1,270,345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2,923,246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3,058,850</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expense</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173,985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330,064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197,908</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loss on customer rewards liability</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(745,598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2,071,505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(2,253,069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970,648</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loss on digital assets - rewards treasury</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1,119,388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(2,334,677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2,808,843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(1,324,091</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selling, general and administrative expenses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1,689,247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1,264,422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3,399,228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2,400,876</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13,858,543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14,501,444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27,281,165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31,089,650</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Operating loss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(7,768,634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(6,325,518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(15,598,947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(15,825,887</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(loss) on digital assets - investment treasury</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36,582,224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(28,524,298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20,965,072</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SAFEs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(6,503,113</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convertible note</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(5,309,608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13,200,089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(11,843,751</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Convertible note issuance costs and fees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(9,569,109</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Legal settlements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(1,374,828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(1,374,828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extinguishment of debt</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(9,612,199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(4,005,132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(9,612,199</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(921,881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(1,974,849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(3,195,709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(3,246,487</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308,619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682,833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186,701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22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20"/>
              </w:rPr>
            </w:pPr>
            <w:r>
              <w:rPr>
                <w:rFonts w:ascii="Times New Roman" w:hAnsi="Times New Roman"/>
                <w:b/>
                <w:color w:val="000000"/>
                <w:sz w:val="20"/>
              </w:rPr>
              <w:t>Other income (expense), net</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(1,882,923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19,751,966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(23,217,045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(19,622,886</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 before income taxes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(9,651,557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13,426,448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(38,815,992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(35,448,773</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 (benefit)</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4,859</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(9,651,557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13,425,567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(38,819,463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(35,453,632</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 attributable to common stockholders: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(9,651,557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13,425,567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(38,819,463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(35,453,632</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(9,651,557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13,425,567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(38,819,463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(35,453,632</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 per share attributable to common stockholders: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(0.98</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(0.98</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Weighted-average shares used to compute net income (loss) per share:</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51,825,321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46,503,358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50,746,857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36,062,784</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51,825,321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47,561,116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50,746,857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36,062,784</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center"/>
        <w:rPr/>
      </w:pPr>
      <w:r>
        <w:rPr/>
        <w:t> </w:t>
      </w:r>
    </w:p>
    <w:p>
      <w:pPr>
        <w:pStyle w:val="TextBody"/>
        <w:bidi w:val="0"/>
        <w:jc w:val="center"/>
        <w:rPr>
          <w:rFonts w:ascii="Arial" w:hAnsi="Arial"/>
          <w:b/>
          <w:color w:val="000000"/>
          <w:sz w:val="16"/>
        </w:rPr>
      </w:pPr>
      <w:bookmarkStart w:id="4" w:name="bookmark_id_gvj5oaq9qgzg"/>
      <w:bookmarkEnd w:id="4"/>
      <w:r>
        <w:rPr>
          <w:rFonts w:ascii="Arial" w:hAnsi="Arial"/>
          <w:b/>
          <w:color w:val="000000"/>
          <w:sz w:val="16"/>
        </w:rPr>
        <w:t>Fold Holdings, Inc. Condensed Statements of Cash Flows (Unaudited)</w:t>
      </w:r>
    </w:p>
    <w:tbl>
      <w:tblPr>
        <w:tblW w:w="8184" w:type="dxa"/>
        <w:jc w:val="left"/>
        <w:tblInd w:w="0" w:type="dxa"/>
        <w:tblLayout w:type="fixed"/>
        <w:tblCellMar>
          <w:top w:w="28" w:type="dxa"/>
          <w:left w:w="28" w:type="dxa"/>
          <w:bottom w:w="28" w:type="dxa"/>
          <w:right w:w="28" w:type="dxa"/>
        </w:tblCellMar>
      </w:tblPr>
      <w:tblGrid>
        <w:gridCol w:w="5271"/>
        <w:gridCol w:w="146"/>
        <w:gridCol w:w="181"/>
        <w:gridCol w:w="841"/>
        <w:gridCol w:w="151"/>
        <w:gridCol w:w="146"/>
        <w:gridCol w:w="181"/>
        <w:gridCol w:w="871"/>
        <w:gridCol w:w="396"/>
      </w:tblGrid>
      <w:tr>
        <w:trPr/>
        <w:tc>
          <w:tcPr>
            <w:tcW w:w="5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5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Six Months Ended June 30,</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(38,819,463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(35,453,632</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5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330,064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197,908</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Loss (gain) on digital assets - rewards treasury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2,808,843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(1,324,091</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5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Loss (gain) on digital assets - investment treasury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28,524,298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(20,965,072</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5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(Gain) loss on customer rewards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(2,253,069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970,648</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Change in fair value of convertible 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(13,200,089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11,843,751</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Convertible note issuance costs and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9,569,109</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Loss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4,005,132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9,612,199</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Amortization of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6,638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112,187</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Amortization of debt discount and premium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179,929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953,404</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Change in fair value of SAFEs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6,503,113</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3,353,459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6,895,480</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Other non-cash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(551,717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Increase (decrease) in cash resulting from changes 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113,200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(246,105</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52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Credit card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(2,753,588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(369,263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(67,489</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52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270,655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(603,030</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52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(6,233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195,286</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1,017,227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1,376,866</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Accrued legal settlement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1,374,828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Customer rewards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753,528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1,318,429</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(138,104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(133,156</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52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(689,680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293,114</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(16,043,405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(8,951,081</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5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Purchases of digital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(1,748,759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(2,374,030</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52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Proceeds from sales of digital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59,120,684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Payments for capitalized software development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(740,184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(434,820</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5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Net 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56,631,741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(2,808,850</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5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Proceeds from issuance of 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13,000,000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Repayment of convertible note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(25,166,667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Proceeds from recapitalization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804,624</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Payments of deferred IPO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(652,013</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52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Payment of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(113,320</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52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Proceeds from issuance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3,262,213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Proceeds from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10,000,000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Repayment of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(20,000,000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Common stock withheld for employee tax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(949,300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Net cash provided by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(19,853,754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39,291</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increase (decrease)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20,734,582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(11,720,640</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5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Cash and cash equivalents,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7,652,203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18,330,359</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Cash and cash equivalents,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28,386,785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6,609,719</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Non-cash investing and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Non-cash payment of interest with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613,334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646,667</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Distributions of digital assets to fulfill customer reward redemptions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869,038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1,489,430</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Distributions of digital assets to satisfy other current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1,089,777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46,955</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Non-cash payment for intellectual property acquisition with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182,379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Non-cash repayment of convertible note via transfer of digital assets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34,007,466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Non-cash amortization of deferred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167,539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Non-cash allocation of convertible note proceeds to embedded derivative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63,418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Non-cash allocation of note proceeds to commitment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785,200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Recapitalization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173,019,904</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Proceeds from convertible debt received in digital assets -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43,965,525</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Change in fair value of Series C Warrants included in loss on extinguishment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498,771</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Distributions of digital assets for prepaid interest -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2,313,975</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5"/>
              </w:rPr>
            </w:pPr>
            <w:r>
              <w:rPr>
                <w:rFonts w:ascii="Times New Roman" w:hAnsi="Times New Roman"/>
                <w:b/>
                <w:color w:val="000000"/>
                <w:sz w:val="15"/>
              </w:rPr>
              <w:t>Supplemental disclosure of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Cash paid during the period for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3,408,749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center"/>
        <w:rPr/>
      </w:pPr>
      <w:r>
        <w:rPr/>
        <w:t> </w:t>
      </w:r>
    </w:p>
    <w:p>
      <w:pPr>
        <w:pStyle w:val="TextBody"/>
        <w:bidi w:val="0"/>
        <w:spacing w:before="360" w:after="283"/>
        <w:jc w:val="both"/>
        <w:rPr>
          <w:rFonts w:ascii="Arial" w:hAnsi="Arial"/>
          <w:b/>
          <w:color w:val="000000"/>
          <w:sz w:val="22"/>
        </w:rPr>
      </w:pPr>
      <w:r>
        <w:rPr>
          <w:rFonts w:ascii="Arial" w:hAnsi="Arial"/>
          <w:b/>
          <w:color w:val="000000"/>
          <w:sz w:val="22"/>
        </w:rPr>
        <w:t>Non-GAAP Financial Measures</w:t>
      </w:r>
    </w:p>
    <w:p>
      <w:pPr>
        <w:pStyle w:val="TextBody"/>
        <w:bidi w:val="0"/>
        <w:spacing w:before="120" w:after="283"/>
        <w:jc w:val="both"/>
        <w:rPr>
          <w:rFonts w:ascii="Arial" w:hAnsi="Arial"/>
          <w:b/>
          <w:i/>
          <w:color w:val="000000"/>
          <w:sz w:val="22"/>
        </w:rPr>
      </w:pPr>
      <w:r>
        <w:rPr>
          <w:rFonts w:ascii="Arial" w:hAnsi="Arial"/>
          <w:b/>
          <w:i/>
          <w:color w:val="000000"/>
          <w:sz w:val="22"/>
        </w:rPr>
        <w:t>Adjusted EBITDA</w:t>
      </w:r>
    </w:p>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In addition to net income (loss) and other results under GAAP, we utilize non-GAAP calculations of adjusted earnings before interest, taxes, depreciation, and amortization (“Adjusted EBITDA”) to monitor the financial health of our business. Adjusted EBITDA is defined as net loss, excluding (i) interest expense, (ii) provision for (benefit from) income taxes, (iii) depreciation and amortization, (iv) share-based compensation, (v) remeasurement gains and losses such as fair value remeasurements on our digital assets, convertible notes, and SAFE notes, (vi) impairments, restructuring charges, and business acquisition- or disposition-related expenses that we believe are not indicative of our core operating results, and (vii) legal settlement expenses associated with unusual or non-recurring litigation matters that we believe are not indicative of our core operating results. This non-GAAP financial information has limitations as an analytical tool when assessing our operating performance, is presented for supplemental informational purposes only, should not be considered in isolation or as a substitute for, or superior to, financial information presented in accordance with GAAP, and may be different from similarly titled non-GAAP measures used by other companies.</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The above items are excluded from our Adjusted EBITDA measure because these items are non-cash in nature, or because the amount and timing of these items are unpredictable, are not driven by core results of operations, and/or render comparisons with prior periods and competitors less meaningful. We believe Adjusted EBITDA and Adjusted EBITDA per share provide useful information to investors and others in understanding and evaluating our results of core operations, as well as providing a useful measure for period-to-period comparisons of our business performance. Moreover, Adjusted EBITDA is a key measurement used by our management internally to make operating decisions, including those related to operating expenses, evaluate performance, and perform strategic planning and annual budgeting.</w:t>
      </w:r>
    </w:p>
    <w:p>
      <w:pPr>
        <w:pStyle w:val="TextBody"/>
        <w:bidi w:val="0"/>
        <w:jc w:val="both"/>
        <w:rPr/>
      </w:pPr>
      <w:r>
        <w:rPr/>
        <w:t> </w:t>
      </w:r>
    </w:p>
    <w:p>
      <w:pPr>
        <w:pStyle w:val="TextBody"/>
        <w:bidi w:val="0"/>
        <w:jc w:val="both"/>
        <w:rPr>
          <w:rFonts w:ascii="Arial" w:hAnsi="Arial"/>
          <w:color w:val="000000"/>
          <w:sz w:val="20"/>
        </w:rPr>
      </w:pPr>
      <w:bookmarkStart w:id="5" w:name="bookmark_id_xp1nse5rzq8d"/>
      <w:bookmarkEnd w:id="5"/>
      <w:r>
        <w:rPr>
          <w:rFonts w:ascii="Arial" w:hAnsi="Arial"/>
          <w:color w:val="000000"/>
          <w:sz w:val="20"/>
        </w:rPr>
        <w:t>The following table presents a reconciliation of Adjusted EBITDA to the most directly comparable GAAP measure, net loss:</w:t>
      </w:r>
    </w:p>
    <w:p>
      <w:pPr>
        <w:pStyle w:val="TextBody"/>
        <w:bidi w:val="0"/>
        <w:jc w:val="both"/>
        <w:rPr/>
      </w:pPr>
      <w:r>
        <w:rPr/>
        <w:t> </w:t>
      </w:r>
    </w:p>
    <w:tbl>
      <w:tblPr>
        <w:tblW w:w="8497" w:type="dxa"/>
        <w:jc w:val="left"/>
        <w:tblInd w:w="0" w:type="dxa"/>
        <w:tblLayout w:type="fixed"/>
        <w:tblCellMar>
          <w:top w:w="28" w:type="dxa"/>
          <w:left w:w="28" w:type="dxa"/>
          <w:bottom w:w="28" w:type="dxa"/>
          <w:right w:w="28" w:type="dxa"/>
        </w:tblCellMar>
      </w:tblPr>
      <w:tblGrid>
        <w:gridCol w:w="3171"/>
        <w:gridCol w:w="146"/>
        <w:gridCol w:w="181"/>
        <w:gridCol w:w="736"/>
        <w:gridCol w:w="151"/>
        <w:gridCol w:w="146"/>
        <w:gridCol w:w="181"/>
        <w:gridCol w:w="811"/>
        <w:gridCol w:w="151"/>
        <w:gridCol w:w="146"/>
        <w:gridCol w:w="181"/>
        <w:gridCol w:w="811"/>
        <w:gridCol w:w="151"/>
        <w:gridCol w:w="146"/>
        <w:gridCol w:w="181"/>
        <w:gridCol w:w="811"/>
        <w:gridCol w:w="396"/>
      </w:tblGrid>
      <w:tr>
        <w:trPr/>
        <w:tc>
          <w:tcPr>
            <w:tcW w:w="3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Three Months Ended June 30,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Six Months Ended June 30,</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(9,651,557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13,425,567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(38,819,463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(35,453,632</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Add: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921,881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1,974,849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3,195,709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3,246,487</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Income tax expense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881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3,471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4,859</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173,985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106,837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330,064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197,908</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1,656,693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1,725,205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3,366,106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6,895,480</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(Gain) loss on customer rewards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(745,598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2,071,505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(2,253,069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970,648</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(Gain) loss on digital assets - rewards treasury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1,119,388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(2,334,677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2,808,843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(1,324,091</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3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(Gain) loss on digital assets - investment treasury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(105,167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(36,582,224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28,524,298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(20,965,072</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Change in fair value of SAFEs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6,503,113</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Change in fair value of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(208,678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(551,717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Change in fair value of convertible 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5,309,608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(13,200,089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11,843,751</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Convertible note issuance costs and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9,569,109</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Legal settlements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1,374,828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1,374,828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Loss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9,612,199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4,005,132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9,612,199</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Adjusted EBITDA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(5,464,225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(4,690,250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(11,215,887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(8,899,241</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bl>
    <w:p>
      <w:pPr>
        <w:pStyle w:val="TextBody"/>
        <w:bidi w:val="0"/>
        <w:jc w:val="both"/>
        <w:rPr/>
      </w:pPr>
      <w:bookmarkStart w:id="6" w:name="bookmark_id_9upvsdketurm"/>
      <w:bookmarkEnd w:id="6"/>
      <w:r>
        <w:rPr/>
        <w:t> </w:t>
      </w:r>
    </w:p>
    <w:tbl>
      <w:tblPr>
        <w:tblW w:w="9627" w:type="dxa"/>
        <w:jc w:val="left"/>
        <w:tblInd w:w="0" w:type="dxa"/>
        <w:tblLayout w:type="fixed"/>
        <w:tblCellMar>
          <w:top w:w="28" w:type="dxa"/>
          <w:left w:w="28" w:type="dxa"/>
          <w:bottom w:w="28" w:type="dxa"/>
          <w:right w:w="28" w:type="dxa"/>
        </w:tblCellMar>
      </w:tblPr>
      <w:tblGrid>
        <w:gridCol w:w="4561"/>
        <w:gridCol w:w="146"/>
        <w:gridCol w:w="181"/>
        <w:gridCol w:w="766"/>
        <w:gridCol w:w="151"/>
        <w:gridCol w:w="146"/>
        <w:gridCol w:w="181"/>
        <w:gridCol w:w="766"/>
        <w:gridCol w:w="151"/>
        <w:gridCol w:w="146"/>
        <w:gridCol w:w="181"/>
        <w:gridCol w:w="811"/>
        <w:gridCol w:w="151"/>
        <w:gridCol w:w="146"/>
        <w:gridCol w:w="181"/>
        <w:gridCol w:w="766"/>
        <w:gridCol w:w="196"/>
      </w:tblGrid>
      <w:tr>
        <w:trPr/>
        <w:tc>
          <w:tcPr>
            <w:tcW w:w="4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Three Months Ended June 30,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Six Months Ended June 30,</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Adjusted EBITDA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(5,464,225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(4,690,250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(11,215,887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(8,899,241</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Weighted-average shares used to compute basic and diluted net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51,825,321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46,503,358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50,746,857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36,062,784</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Adjusted EBITDA (loss) per share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bl>
    <w:p>
      <w:pPr>
        <w:pStyle w:val="TextBody"/>
        <w:bidi w:val="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center"/>
        <w:rPr/>
      </w:pPr>
      <w:r>
        <w:rPr/>
        <w:t> </w:t>
      </w:r>
    </w:p>
    <w:p>
      <w:pPr>
        <w:pStyle w:val="TextBody"/>
        <w:bidi w:val="0"/>
        <w:jc w:val="left"/>
        <w:rPr>
          <w:rFonts w:ascii="Times New Roman" w:hAnsi="Times New Roman"/>
          <w:sz w:val="20"/>
        </w:rPr>
      </w:pPr>
      <w:r>
        <w:rPr>
          <w:rFonts w:ascii="Arial" w:hAnsi="Arial"/>
          <w:b/>
          <w:color w:val="000000"/>
          <w:sz w:val="22"/>
        </w:rPr>
        <w:t>For investor inquiries, please contact:</w:t>
      </w:r>
      <w:r>
        <w:rPr>
          <w:rFonts w:ascii="Arial" w:hAnsi="Arial"/>
          <w:color w:val="000000"/>
          <w:sz w:val="22"/>
        </w:rPr>
        <w:br/>
      </w:r>
      <w:r>
        <w:rPr>
          <w:rFonts w:ascii="Arial" w:hAnsi="Arial"/>
          <w:color w:val="444444"/>
          <w:sz w:val="22"/>
        </w:rPr>
        <w:t>OG Advisory Group</w:t>
      </w:r>
    </w:p>
    <w:p>
      <w:pPr>
        <w:pStyle w:val="TextBody"/>
        <w:bidi w:val="0"/>
        <w:jc w:val="left"/>
        <w:rPr>
          <w:rFonts w:ascii="Arial" w:hAnsi="Arial"/>
          <w:color w:val="444444"/>
          <w:sz w:val="22"/>
        </w:rPr>
      </w:pPr>
      <w:r>
        <w:rPr>
          <w:rFonts w:ascii="Arial" w:hAnsi="Arial"/>
          <w:color w:val="444444"/>
          <w:sz w:val="22"/>
        </w:rPr>
        <w:t>Samir Jain, CFA</w:t>
      </w:r>
    </w:p>
    <w:p>
      <w:pPr>
        <w:pStyle w:val="TextBody"/>
        <w:bidi w:val="0"/>
        <w:jc w:val="left"/>
        <w:rPr>
          <w:rFonts w:ascii="Arial" w:hAnsi="Arial"/>
          <w:color w:val="1155CC"/>
          <w:sz w:val="22"/>
        </w:rPr>
      </w:pPr>
      <w:r>
        <w:rPr>
          <w:rFonts w:ascii="Arial" w:hAnsi="Arial"/>
          <w:color w:val="1155CC"/>
          <w:sz w:val="22"/>
        </w:rPr>
        <w:t>FoldIR@orangegroupadvisors.com</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For media inquiries, please contact:</w:t>
      </w:r>
    </w:p>
    <w:p>
      <w:pPr>
        <w:pStyle w:val="TextBody"/>
        <w:bidi w:val="0"/>
        <w:jc w:val="left"/>
        <w:rPr>
          <w:rFonts w:ascii="Arial" w:hAnsi="Arial"/>
          <w:color w:val="000000"/>
          <w:sz w:val="22"/>
        </w:rPr>
      </w:pPr>
      <w:r>
        <w:rPr>
          <w:rFonts w:ascii="Arial" w:hAnsi="Arial"/>
          <w:color w:val="000000"/>
          <w:sz w:val="22"/>
        </w:rPr>
        <w:t>Confluence Partners, LLC</w:t>
      </w:r>
    </w:p>
    <w:p>
      <w:pPr>
        <w:pStyle w:val="TextBody"/>
        <w:bidi w:val="0"/>
        <w:jc w:val="left"/>
        <w:rPr>
          <w:rFonts w:ascii="Arial" w:hAnsi="Arial"/>
          <w:color w:val="000000"/>
          <w:sz w:val="22"/>
        </w:rPr>
      </w:pPr>
      <w:r>
        <w:rPr>
          <w:rFonts w:ascii="Arial" w:hAnsi="Arial"/>
          <w:color w:val="000000"/>
          <w:sz w:val="22"/>
        </w:rPr>
        <w:t>Cindy Stoller</w:t>
      </w:r>
    </w:p>
    <w:p>
      <w:pPr>
        <w:pStyle w:val="TextBody"/>
        <w:bidi w:val="0"/>
        <w:jc w:val="left"/>
        <w:rPr>
          <w:rFonts w:ascii="Arial" w:hAnsi="Arial"/>
          <w:color w:val="1155CC"/>
          <w:sz w:val="22"/>
        </w:rPr>
      </w:pPr>
      <w:r>
        <w:rPr>
          <w:rFonts w:ascii="Arial" w:hAnsi="Arial"/>
          <w:color w:val="1155CC"/>
          <w:sz w:val="22"/>
        </w:rPr>
        <w:t>Media@foldapp.com</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3537</Words>
  <Characters>20505</Characters>
  <CharactersWithSpaces>24530</CharactersWithSpaces>
  <Paragraphs>2177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