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424b3_no._21_eloc.htm"/>
      <w:bookmarkStart w:id="1" w:name="ks424b3_no"/>
      <w:bookmarkEnd w:id="0"/>
      <w:bookmarkEnd w:id="1"/>
      <w:r>
        <w:rPr/>
        <w:t> </w:t>
      </w:r>
    </w:p>
    <w:p>
      <w:pPr>
        <w:pStyle w:val="TextBody"/>
        <w:bidi w:val="0"/>
        <w:jc w:val="right"/>
        <w:rPr>
          <w:rFonts w:ascii="Times New Roman" w:hAnsi="Times New Roman"/>
          <w:b/>
          <w:color w:val="000000"/>
          <w:sz w:val="20"/>
        </w:rPr>
      </w:pPr>
      <w:r>
        <w:rPr>
          <w:rFonts w:ascii="Times New Roman" w:hAnsi="Times New Roman"/>
          <w:b/>
          <w:color w:val="000000"/>
          <w:sz w:val="20"/>
        </w:rPr>
        <w:t>Filed pursuant to Rule 424(b)(3)</w:t>
      </w:r>
    </w:p>
    <w:p>
      <w:pPr>
        <w:pStyle w:val="TextBody"/>
        <w:bidi w:val="0"/>
        <w:jc w:val="right"/>
        <w:rPr>
          <w:rFonts w:ascii="Times New Roman" w:hAnsi="Times New Roman"/>
          <w:b/>
          <w:color w:val="000000"/>
          <w:sz w:val="20"/>
        </w:rPr>
      </w:pPr>
      <w:r>
        <w:rPr>
          <w:rFonts w:ascii="Times New Roman" w:hAnsi="Times New Roman"/>
          <w:b/>
          <w:color w:val="000000"/>
          <w:sz w:val="20"/>
        </w:rPr>
        <w:t>Registration No. 333-288623</w:t>
      </w:r>
    </w:p>
    <w:p>
      <w:pPr>
        <w:pStyle w:val="TextBody"/>
        <w:bidi w:val="0"/>
        <w:jc w:val="left"/>
        <w:rPr>
          <w:rFonts w:ascii="Times New Roman" w:hAnsi="Times New Roman"/>
          <w:b/>
          <w:color w:val="000000"/>
          <w:sz w:val="20"/>
        </w:rPr>
      </w:pPr>
      <w:r>
        <w:rPr>
          <w:rFonts w:ascii="Times New Roman" w:hAnsi="Times New Roman"/>
          <w:b/>
          <w:color w:val="000000"/>
          <w:sz w:val="20"/>
        </w:rPr>
        <w:t>PROSPECTUS SUPPLEMENT NO. 21</w:t>
      </w:r>
    </w:p>
    <w:p>
      <w:pPr>
        <w:pStyle w:val="TextBody"/>
        <w:bidi w:val="0"/>
        <w:jc w:val="left"/>
        <w:rPr>
          <w:rFonts w:ascii="Times New Roman" w:hAnsi="Times New Roman"/>
          <w:b/>
          <w:color w:val="000000"/>
          <w:sz w:val="20"/>
        </w:rPr>
      </w:pPr>
      <w:r>
        <w:rPr>
          <w:rFonts w:ascii="Times New Roman" w:hAnsi="Times New Roman"/>
          <w:b/>
          <w:color w:val="000000"/>
          <w:sz w:val="20"/>
        </w:rPr>
        <w:t>(to Prospectus dated August 11, 2025)</w:t>
      </w:r>
    </w:p>
    <w:p>
      <w:pPr>
        <w:pStyle w:val="TextBody"/>
        <w:bidi w:val="0"/>
        <w:jc w:val="center"/>
        <w:rPr>
          <w:rFonts w:ascii="Times New Roman" w:hAnsi="Times New Roman"/>
          <w:b/>
          <w:color w:val="000000"/>
          <w:sz w:val="32"/>
        </w:rPr>
      </w:pPr>
      <w:r>
        <w:rPr>
          <w:rFonts w:ascii="Times New Roman" w:hAnsi="Times New Roman"/>
          <w:b/>
          <w:color w:val="000000"/>
          <w:sz w:val="32"/>
        </w:rPr>
        <w:t>Fold Holdings, Inc.</w:t>
      </w:r>
    </w:p>
    <w:p>
      <w:pPr>
        <w:pStyle w:val="TextBody"/>
        <w:bidi w:val="0"/>
        <w:jc w:val="center"/>
        <w:rPr>
          <w:rFonts w:ascii="Times New Roman" w:hAnsi="Times New Roman"/>
          <w:b/>
          <w:color w:val="000000"/>
          <w:sz w:val="22"/>
        </w:rPr>
      </w:pPr>
      <w:r>
        <w:rPr>
          <w:rFonts w:ascii="Times New Roman" w:hAnsi="Times New Roman"/>
          <w:b/>
          <w:color w:val="000000"/>
          <w:sz w:val="22"/>
        </w:rPr>
        <w:t>Up to 9,282,287 Shares of Common Stock</w:t>
      </w:r>
    </w:p>
    <w:p>
      <w:pPr>
        <w:pStyle w:val="TextBody"/>
        <w:pBdr>
          <w:bottom w:val="single" w:sz="5" w:space="1" w:color="000000"/>
        </w:pBdr>
        <w:bidi w:val="0"/>
        <w:spacing w:before="18" w:after="283"/>
        <w:jc w:val="center"/>
        <w:rPr/>
      </w:pPr>
      <w:r>
        <w:rPr/>
        <w:t> </w:t>
      </w:r>
    </w:p>
    <w:p>
      <w:pPr>
        <w:pStyle w:val="TextBody"/>
        <w:bidi w:val="0"/>
        <w:spacing w:before="216" w:after="283"/>
        <w:jc w:val="both"/>
        <w:rPr>
          <w:rFonts w:ascii="Times New Roman" w:hAnsi="Times New Roman"/>
          <w:color w:val="000000"/>
          <w:sz w:val="20"/>
        </w:rPr>
      </w:pPr>
      <w:r>
        <w:rPr>
          <w:rFonts w:ascii="Times New Roman" w:hAnsi="Times New Roman"/>
          <w:color w:val="000000"/>
          <w:sz w:val="20"/>
        </w:rPr>
        <w:t>This prospectus supplement updates, amends and supplements the prospectus dated August 11, 2025 (as supplemented or amended from time to time, the “Prospectus”), which forms a part of our registration statement on Form S-1 (No. 333-288623). Capitalized terms used in this prospectus supplement and not otherwise defined herein have the meanings specified in the Prospectus.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prospectus supplement is being filed to update and supplement the information in the Prospectus with the information contained in our Quarterly Report on Form 10-Q filed with the Securities and Exchange Commission on August 11, 2026 (the “Quarterly Report”). Accordingly, we have attached the Quarterly Report to this prospectus supplement.</w:t>
      </w:r>
    </w:p>
    <w:p>
      <w:pPr>
        <w:pStyle w:val="TextBody"/>
        <w:bidi w:val="0"/>
        <w:spacing w:before="216" w:after="283"/>
        <w:jc w:val="both"/>
        <w:rPr>
          <w:rFonts w:ascii="Times New Roman" w:hAnsi="Times New Roman"/>
          <w:color w:val="000000"/>
          <w:sz w:val="20"/>
        </w:rPr>
      </w:pPr>
      <w:r>
        <w:rPr>
          <w:rFonts w:ascii="Times New Roman" w:hAnsi="Times New Roman"/>
          <w:color w:val="000000"/>
          <w:sz w:val="20"/>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pStyle w:val="TextBody"/>
        <w:bidi w:val="0"/>
        <w:spacing w:before="216" w:after="283"/>
        <w:jc w:val="both"/>
        <w:rPr>
          <w:rFonts w:ascii="Times New Roman" w:hAnsi="Times New Roman"/>
          <w:color w:val="000000"/>
          <w:sz w:val="20"/>
        </w:rPr>
      </w:pPr>
      <w:r>
        <w:rPr>
          <w:rFonts w:ascii="Times New Roman" w:hAnsi="Times New Roman"/>
          <w:color w:val="000000"/>
          <w:sz w:val="20"/>
        </w:rPr>
        <w:t>Our Common Stock and Warrants are listed on the Nasdaq Stock Market LLC under the symbols “FLD” and “FLDDW,” respectively. The last reported sales price of our Common Stock and Warrants on the Nasdaq Stock Market LLC were $0.4513 per share of Common Stock and $0.085 per Warrant on August 10, 2026.</w:t>
      </w:r>
    </w:p>
    <w:p>
      <w:pPr>
        <w:pStyle w:val="TextBody"/>
        <w:bidi w:val="0"/>
        <w:spacing w:before="240" w:after="283"/>
        <w:jc w:val="left"/>
        <w:rPr>
          <w:rFonts w:ascii="Times New Roman" w:hAnsi="Times New Roman"/>
          <w:sz w:val="20"/>
        </w:rPr>
      </w:pPr>
      <w:r>
        <w:rPr>
          <w:rFonts w:ascii="Times New Roman" w:hAnsi="Times New Roman"/>
          <w:b/>
          <w:color w:val="000000"/>
          <w:sz w:val="20"/>
        </w:rPr>
        <w:t>Investing in our securities involves a high degree of risk. See “</w:t>
      </w:r>
      <w:r>
        <w:rPr>
          <w:rFonts w:ascii="Times New Roman" w:hAnsi="Times New Roman"/>
          <w:b/>
          <w:i/>
          <w:color w:val="000000"/>
          <w:sz w:val="20"/>
          <w:u w:val="single"/>
        </w:rPr>
        <w:t>Risk Factors</w:t>
      </w:r>
      <w:r>
        <w:rPr>
          <w:rFonts w:ascii="Times New Roman" w:hAnsi="Times New Roman"/>
          <w:color w:val="000000"/>
          <w:sz w:val="20"/>
        </w:rPr>
        <w:t xml:space="preserve">” </w:t>
      </w:r>
      <w:r>
        <w:rPr>
          <w:rFonts w:ascii="Times New Roman" w:hAnsi="Times New Roman"/>
          <w:b/>
          <w:color w:val="000000"/>
          <w:sz w:val="20"/>
        </w:rPr>
        <w:t>beginning on page 7 of the Prospectus and other risk factors contained in the documents incorporated by reference therein, to read about factors you should consider before buying our securities.</w:t>
      </w:r>
    </w:p>
    <w:p>
      <w:pPr>
        <w:pStyle w:val="TextBody"/>
        <w:bidi w:val="0"/>
        <w:spacing w:before="216" w:after="283"/>
        <w:jc w:val="left"/>
        <w:rPr>
          <w:rFonts w:ascii="Times New Roman" w:hAnsi="Times New Roman"/>
          <w:b/>
          <w:color w:val="000000"/>
          <w:sz w:val="20"/>
        </w:rPr>
      </w:pPr>
      <w:r>
        <w:rPr>
          <w:rFonts w:ascii="Times New Roman" w:hAnsi="Times New Roman"/>
          <w:b/>
          <w:color w:val="000000"/>
          <w:sz w:val="20"/>
        </w:rPr>
        <w:t>Neither the Securities and Exchange Commission nor any state securities commission has approved or disapproved of these securities or determined if this prospectus supplement or the Prospectus is truthful or complete. Any representation to the contrary is a criminal offense.</w:t>
      </w:r>
    </w:p>
    <w:p>
      <w:pPr>
        <w:pStyle w:val="TextBody"/>
        <w:bidi w:val="0"/>
        <w:jc w:val="center"/>
        <w:rPr>
          <w:rFonts w:ascii="Times New Roman" w:hAnsi="Times New Roman"/>
          <w:b/>
          <w:color w:val="000000"/>
          <w:sz w:val="20"/>
        </w:rPr>
      </w:pPr>
      <w:r>
        <w:rPr>
          <w:rFonts w:ascii="Times New Roman" w:hAnsi="Times New Roman"/>
          <w:b/>
          <w:color w:val="000000"/>
          <w:sz w:val="20"/>
        </w:rPr>
        <w:t>The date of this prospectus supplement is August 11, 2026.</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left"/>
        <w:rPr/>
      </w:pPr>
      <w:r>
        <w:rPr/>
        <w:t> </w:t>
      </w:r>
    </w:p>
    <w:p>
      <w:pPr>
        <w:pStyle w:val="TextBody"/>
        <w:pBdr>
          <w:top w:val="single" w:sz="6" w:space="1" w:color="000000"/>
        </w:pBdr>
        <w:bidi w:val="0"/>
        <w:jc w:val="center"/>
        <w:rPr>
          <w:rFonts w:ascii="Times New Roman" w:hAnsi="Times New Roman"/>
          <w:sz w:val="20"/>
        </w:rPr>
      </w:pPr>
      <w:r>
        <w:rPr>
          <w:rFonts w:ascii="Arial" w:hAnsi="Arial"/>
          <w:color w:val="000000"/>
          <w:sz w:val="16"/>
        </w:rPr>
        <w:t>- 1</w:t>
      </w:r>
      <w:r>
        <w:rPr>
          <w:rFonts w:ascii="Times New Roman" w:hAnsi="Times New Roman"/>
          <w:color w:val="000000"/>
          <w:sz w:val="20"/>
        </w:rPr>
        <w:t xml:space="preserve"> </w:t>
      </w:r>
      <w:r>
        <w:rPr>
          <w:rFonts w:ascii="Arial" w:hAnsi="Arial"/>
          <w:color w:val="000000"/>
          <w:sz w:val="16"/>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For the transition period from __________ to __________</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Commission File Number: 001-41168</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Fold Holdings,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4832" w:type="dxa"/>
        <w:jc w:val="left"/>
        <w:tblInd w:w="0" w:type="dxa"/>
        <w:tblLayout w:type="fixed"/>
        <w:tblCellMar>
          <w:top w:w="28" w:type="dxa"/>
          <w:left w:w="28" w:type="dxa"/>
          <w:bottom w:w="28" w:type="dxa"/>
          <w:right w:w="28" w:type="dxa"/>
        </w:tblCellMar>
      </w:tblPr>
      <w:tblGrid>
        <w:gridCol w:w="3586"/>
        <w:gridCol w:w="1246"/>
      </w:tblGrid>
      <w:tr>
        <w:trPr/>
        <w:tc>
          <w:tcPr>
            <w:tcW w:w="358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86-2170416</w:t>
            </w:r>
          </w:p>
        </w:tc>
      </w:tr>
      <w:tr>
        <w:trPr/>
        <w:tc>
          <w:tcPr>
            <w:tcW w:w="35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358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2942 North 24th Street Suite 115, #42035</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Phoenix, AZ</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85016</w:t>
            </w:r>
          </w:p>
        </w:tc>
      </w:tr>
      <w:tr>
        <w:trPr/>
        <w:tc>
          <w:tcPr>
            <w:tcW w:w="3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(866) 365-3277</w:t>
      </w:r>
    </w:p>
    <w:p>
      <w:pPr>
        <w:pStyle w:val="TextBody"/>
        <w:pBdr>
          <w:bottom w:val="single" w:sz="4" w:space="1" w:color="000000"/>
        </w:pBdr>
        <w:bidi w:val="0"/>
        <w:spacing w:before="40" w:after="283"/>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88"/>
        <w:gridCol w:w="146"/>
        <w:gridCol w:w="813"/>
        <w:gridCol w:w="146"/>
        <w:gridCol w:w="2612"/>
      </w:tblGrid>
      <w:tr>
        <w:trPr/>
        <w:tc>
          <w:tcPr>
            <w:tcW w:w="64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2" w:type="dxa"/>
            <w:tcBorders/>
            <w:vAlign w:val="center"/>
          </w:tcPr>
          <w:p>
            <w:pPr>
              <w:pStyle w:val="TableContents"/>
              <w:bidi w:val="0"/>
              <w:spacing w:before="0" w:after="283"/>
              <w:jc w:val="left"/>
              <w:rPr>
                <w:sz w:val="4"/>
                <w:szCs w:val="4"/>
              </w:rPr>
            </w:pPr>
            <w:r>
              <w:rPr>
                <w:sz w:val="4"/>
                <w:szCs w:val="4"/>
              </w:rPr>
            </w:r>
          </w:p>
        </w:tc>
      </w:tr>
      <w:tr>
        <w:trPr/>
        <w:tc>
          <w:tcPr>
            <w:tcW w:w="6488" w:type="dxa"/>
            <w:tcBorders>
              <w:bottom w:val="single" w:sz="4" w:space="0" w:color="000000"/>
            </w:tcBorders>
            <w:tcMar>
              <w:top w:w="0" w:type="dxa"/>
              <w:left w:w="0" w:type="dxa"/>
              <w:bottom w:w="72"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bottom w:w="72" w:type="dxa"/>
              <w:right w:w="0" w:type="dxa"/>
            </w:tcMar>
            <w:vAlign w:val="center"/>
          </w:tcPr>
          <w:p>
            <w:pPr>
              <w:pStyle w:val="TableContents"/>
              <w:bidi w:val="0"/>
              <w:spacing w:before="0" w:after="283"/>
              <w:jc w:val="center"/>
              <w:rPr/>
            </w:pPr>
            <w:r>
              <w:rPr/>
              <w:t> </w:t>
            </w:r>
          </w:p>
        </w:tc>
        <w:tc>
          <w:tcPr>
            <w:tcW w:w="813" w:type="dxa"/>
            <w:tcBorders>
              <w:bottom w:val="single" w:sz="4" w:space="0" w:color="000000"/>
            </w:tcBorders>
            <w:tcMar>
              <w:top w:w="0" w:type="dxa"/>
              <w:left w:w="0" w:type="dxa"/>
              <w:bottom w:w="72"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bottom w:w="72" w:type="dxa"/>
              <w:right w:w="0" w:type="dxa"/>
            </w:tcMar>
            <w:vAlign w:val="center"/>
          </w:tcPr>
          <w:p>
            <w:pPr>
              <w:pStyle w:val="TableContents"/>
              <w:bidi w:val="0"/>
              <w:spacing w:before="0" w:after="283"/>
              <w:jc w:val="center"/>
              <w:rPr/>
            </w:pPr>
            <w:r>
              <w:rPr/>
              <w:t> </w:t>
            </w:r>
          </w:p>
        </w:tc>
        <w:tc>
          <w:tcPr>
            <w:tcW w:w="2612" w:type="dxa"/>
            <w:tcBorders>
              <w:bottom w:val="single" w:sz="4" w:space="0" w:color="000000"/>
            </w:tcBorders>
            <w:tcMar>
              <w:top w:w="0" w:type="dxa"/>
              <w:left w:w="0" w:type="dxa"/>
              <w:bottom w:w="72"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6488"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Common stock, par value $0.0001 per share</w:t>
            </w:r>
          </w:p>
          <w:p>
            <w:pPr>
              <w:pStyle w:val="TableContents"/>
              <w:bidi w:val="0"/>
              <w:jc w:val="center"/>
              <w:rPr/>
            </w:pPr>
            <w:r>
              <w:rPr/>
              <w:t> </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Warrants, each whole warrant exercisable for one share of common stock at an exercise price of $11.50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3" w:type="dxa"/>
            <w:tcBorders/>
            <w:tcMar>
              <w:top w:w="0" w:type="dxa"/>
              <w:left w:w="0" w:type="dxa"/>
              <w:bottom w:w="0" w:type="dxa"/>
              <w:right w:w="0" w:type="dxa"/>
            </w:tcMar>
            <w:vAlign w:val="center"/>
          </w:tcPr>
          <w:p>
            <w:pPr>
              <w:pStyle w:val="TableContents"/>
              <w:bidi w:val="0"/>
              <w:jc w:val="center"/>
              <w:rPr>
                <w:rFonts w:ascii="Times New Roman" w:hAnsi="Times New Roman"/>
                <w:sz w:val="18"/>
              </w:rPr>
            </w:pPr>
            <w:r>
              <w:rPr>
                <w:rFonts w:ascii="Times New Roman" w:hAnsi="Times New Roman"/>
                <w:b/>
                <w:color w:val="000000"/>
                <w:sz w:val="18"/>
              </w:rPr>
              <w:t>FLD</w:t>
            </w:r>
            <w:r>
              <w:rPr>
                <w:rFonts w:ascii="Times New Roman" w:hAnsi="Times New Roman"/>
                <w:color w:val="000000"/>
                <w:sz w:val="18"/>
              </w:rPr>
              <w:t xml:space="preserve"> </w:t>
            </w:r>
          </w:p>
          <w:p>
            <w:pPr>
              <w:pStyle w:val="TableContents"/>
              <w:bidi w:val="0"/>
              <w:jc w:val="center"/>
              <w:rPr/>
            </w:pPr>
            <w:r>
              <w:rPr/>
              <w:t> </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FLDDW</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12"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Nasdaq Capital Market</w:t>
            </w:r>
          </w:p>
          <w:p>
            <w:pPr>
              <w:pStyle w:val="TableContents"/>
              <w:bidi w:val="0"/>
              <w:jc w:val="center"/>
              <w:rPr/>
            </w:pPr>
            <w:r>
              <w:rPr/>
              <w:t> </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Nasdaq Capital Market</w:t>
            </w:r>
          </w:p>
        </w:tc>
      </w:tr>
    </w:tbl>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left"/>
        <w:rPr>
          <w:rFonts w:ascii="Times New Roman" w:hAnsi="Times New Roman"/>
          <w:color w:val="000000"/>
          <w:sz w:val="18"/>
        </w:rPr>
      </w:pPr>
      <w:r>
        <w:rPr>
          <w:rFonts w:ascii="Times New Roman" w:hAnsi="Times New Roman"/>
          <w:color w:val="000000"/>
          <w:sz w:val="18"/>
        </w:rPr>
        <w:t>As of August 9, 2026, the registrant had 55,077,187 shares of common stock, $0.0001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pBdr>
          <w:top w:val="single" w:sz="6" w:space="1" w:color="000000"/>
        </w:pBdr>
        <w:bidi w:val="0"/>
        <w:jc w:val="center"/>
        <w:rPr>
          <w:rFonts w:ascii="Times New Roman" w:hAnsi="Times New Roman"/>
          <w:sz w:val="20"/>
        </w:rPr>
      </w:pPr>
      <w:r>
        <w:rPr>
          <w:rFonts w:ascii="Arial" w:hAnsi="Arial"/>
          <w:color w:val="000000"/>
          <w:sz w:val="16"/>
        </w:rPr>
        <w:t>- 2</w:t>
      </w:r>
      <w:r>
        <w:rPr>
          <w:rFonts w:ascii="Times New Roman" w:hAnsi="Times New Roman"/>
          <w:color w:val="000000"/>
          <w:sz w:val="20"/>
        </w:rPr>
        <w:t xml:space="preserve"> </w:t>
      </w:r>
      <w:r>
        <w:rPr>
          <w:rFonts w:ascii="Arial" w:hAnsi="Arial"/>
          <w:color w:val="000000"/>
          <w:sz w:val="16"/>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center"/>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CAUTIONARY NOTE REGARDING FORWARD-LOOKING STATEMENTS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FINANCIAL INFORMATION</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Unaudited Financial Statements</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Condensed Balance Sheets</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Condensed Statements of Operations</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Condensed Statements of Stockholders' Equity</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Condensed Statements of Cash Flows</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Notes to Unaudited Condensed Financial Statements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Management’s Discussion and Analysis of Financial Condition and Results of Operations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Quantitative and Qualitative Disclosures About Market Risk</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Controls and Procedures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OTHER INFORMATION</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Legal Proceedings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Risk Factors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Unregistered Sales of Equity Securities and Use of Proceeds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Defaults Upon Senior Securities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Mine Safety Disclosures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Other Information</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FF"/>
                <w:sz w:val="20"/>
                <w:u w:val="single"/>
              </w:rPr>
              <w:t>Exhibits</w:t>
            </w:r>
            <w:r>
              <w:rPr>
                <w:rFonts w:ascii="Times New Roman" w:hAnsi="Times New Roman"/>
                <w:color w:val="0000FF"/>
                <w:sz w:val="20"/>
              </w:rPr>
              <w:t xml:space="preserve">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Signatures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jc w:val="left"/>
        <w:rPr/>
      </w:pPr>
      <w:r>
        <w:rPr/>
        <w:t> </w:t>
      </w:r>
    </w:p>
    <w:p>
      <w:pPr>
        <w:pStyle w:val="TextBody"/>
        <w:bidi w:val="0"/>
        <w:jc w:val="left"/>
        <w:rPr/>
      </w:pPr>
      <w:r>
        <w:rPr/>
        <w:t> </w:t>
      </w:r>
    </w:p>
    <w:p>
      <w:pPr>
        <w:pStyle w:val="TextBody"/>
        <w:bidi w:val="0"/>
        <w:spacing w:before="240" w:after="120"/>
        <w:jc w:val="center"/>
        <w:rPr/>
      </w:pPr>
      <w:r>
        <w:rPr/>
        <w:t> </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Intellectual Property</w:t>
      </w:r>
    </w:p>
    <w:p>
      <w:pPr>
        <w:pStyle w:val="TextBody"/>
        <w:bidi w:val="0"/>
        <w:spacing w:before="120" w:after="120"/>
        <w:jc w:val="both"/>
        <w:rPr>
          <w:rFonts w:ascii="Times New Roman" w:hAnsi="Times New Roman"/>
          <w:sz w:val="20"/>
        </w:rPr>
      </w:pPr>
      <w:r>
        <w:rPr>
          <w:rFonts w:ascii="Times New Roman" w:hAnsi="Times New Roman"/>
          <w:color w:val="000000"/>
          <w:sz w:val="20"/>
        </w:rPr>
        <w:t xml:space="preserve">We own or have rights to various trademarks, service marks and trade names that we use in connection with the operation of our business, which include the Company’s “F” logo mark, “FOLD”, “FOLD CREDIT CARD”, “FOLD BITCOIN CREDIT CARD”, “FOLD BITCOIN REWARDS CREDIT CARD”, “FOLD DEBIT CARD”, “FOLD BITCOIN DEBIT CARD”, “FOLD BITCOIN REWARDS DEBIT CARD”, “FOLD GIFT CARD”, and “FOLD BITCOIN GIFT CARD”. This document may also include trademarks, service marks and tradenames that are the property of other organizations. Our use or display of any third party’s trademarks, service marks, trade names or products in this document is not intended to, and does not imply, a relationship with, endorsement of or sponsorship by us of, those third parties. Solely for convenience, trademarks, service marks and tradenames referred to in this document may appear without the </w:t>
      </w:r>
      <w:r>
        <w:rPr>
          <w:rFonts w:ascii="Times New Roman" w:hAnsi="Times New Roman"/>
          <w:color w:val="000000"/>
          <w:sz w:val="13"/>
        </w:rPr>
        <w:t>®</w:t>
      </w:r>
      <w:r>
        <w:rPr>
          <w:rFonts w:ascii="Times New Roman" w:hAnsi="Times New Roman"/>
          <w:color w:val="000000"/>
          <w:sz w:val="20"/>
        </w:rPr>
        <w:t xml:space="preserve">, </w:t>
      </w:r>
      <w:r>
        <w:rPr>
          <w:rFonts w:ascii="Times New Roman" w:hAnsi="Times New Roman"/>
          <w:color w:val="000000"/>
          <w:sz w:val="13"/>
        </w:rPr>
        <w:t>SM</w:t>
      </w:r>
      <w:r>
        <w:rPr>
          <w:rFonts w:ascii="Times New Roman" w:hAnsi="Times New Roman"/>
          <w:color w:val="000000"/>
          <w:sz w:val="20"/>
        </w:rPr>
        <w:t xml:space="preserve"> and  symbols, but those references are not intended to indicate, in any way, that we will not assert, to the fullest extent under applicable law, our rights or that the applicable owner will not assert its rights, to these trademarks, service marks and tradenames.</w:t>
      </w:r>
    </w:p>
    <w:p>
      <w:pPr>
        <w:pStyle w:val="TextBody"/>
        <w:bidi w:val="0"/>
        <w:spacing w:before="120" w:after="120"/>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This Quarterly Report on Form 10-Q (this “Quarterly Report”) of Fold Holdings, Inc. (“Fold,” the “Company,” “we,” “our,” and “us”) contains forward-looking statements within the meaning of the federal securities laws. All statements other than statements of historical facts contained in this Quarterly Report, including statements regarding our future results of operations or financial condition, business strategy and plans and objectives of management for future operations, are forward-looking statements. These statements involve known and unknown risks, uncertainties, and other important factors that are in some cases beyond our control and may cause our actual results, </w:t>
      </w:r>
    </w:p>
    <w:p>
      <w:pPr>
        <w:pStyle w:val="TextBody"/>
        <w:pBdr>
          <w:top w:val="single" w:sz="6" w:space="1" w:color="000000"/>
        </w:pBdr>
        <w:bidi w:val="0"/>
        <w:jc w:val="center"/>
        <w:rPr>
          <w:rFonts w:ascii="Times New Roman" w:hAnsi="Times New Roman"/>
          <w:sz w:val="20"/>
        </w:rPr>
      </w:pPr>
      <w:r>
        <w:rPr>
          <w:rFonts w:ascii="Arial" w:hAnsi="Arial"/>
          <w:color w:val="000000"/>
          <w:sz w:val="16"/>
        </w:rPr>
        <w:t>- 3</w:t>
      </w:r>
      <w:r>
        <w:rPr>
          <w:rFonts w:ascii="Times New Roman" w:hAnsi="Times New Roman"/>
          <w:color w:val="000000"/>
          <w:sz w:val="20"/>
        </w:rPr>
        <w:t xml:space="preserve"> </w:t>
      </w:r>
      <w:r>
        <w:rPr>
          <w:rFonts w:ascii="Arial" w:hAnsi="Arial"/>
          <w:color w:val="000000"/>
          <w:sz w:val="16"/>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performance, or achievements to be materially different from any future results, performance, or achievements expressed or implied by the forward-looking statements. In some cases, you can identify forward-looking statements because they contain words such as “anticipate,” “believe,” “contemplate,” “continue,” “could,” “estimate,” “expect,” “intend,” “may,” “plan,” “approximately,” “potential,” “predict,” “project,” “should,” “target,” “will” or “would” or the negative of these words or other similar terms or expressions.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caution investors that any forward-looking statements presented in this Quarterly Report, or that we may make orally or in writing from time to time, are based on information currently available, as well as our beliefs and assumptions. The actual outcome related to forward-looking statements will be affected by known and unknown risks, trends, uncertainties, and factors that are beyond our control or ability to predict. Although we believe that our assumptions are reasonable, they are not guarantees of future performance, and some will inevitably prove to be incorrect. As a result, our actual future results can be expected to differ from our expectations, and those differences may be material. Accordingly, investors should use caution in relying on forward-looking statements, which are based only on known results and trends at the time they are made, to anticipate future results or trends.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forward-looking statements contained in this Quarterly Report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risks that we will not be able to regain compliance with Nasdaq Listing Rule 5550(a)(2) or other listing requirements of Nasdaq or, even if we do, that our minimum bid price will remain over the minimum bid price requirement of The Nasdaq Capital Market following regaining compliance;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risks that any option that we may pursue in order to regain compliance with Nasdaq Listing Rule 5550(a)(2), such as a reverse stock split, could result in a significant devaluation of our market capitalization or the trading price of our Common Stock;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risks related to our financial and business performance, including financial projections and business metrics and any underlying assumptions thereunder;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volatility in the valuation of bitcoin, which may affect our operating results and our ability to obtain cash funding on favorable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upon third-party partners, including reliance on only one custodian, BitGo (as defined below);</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our strategy, future operations, financial position, estimated revenues and losses, projected costs, prospects and plans;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implementation, market acceptance and success of our business model;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competition as the crypto-economy develops;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still-developing and uncertain regulatory landscape;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scale and develop new products, such as the Fold Credit Card, in a cost-effective manner;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developments and projections relating to our competitors and industry;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future capital requirements and sources and uses of cash for product development and other purposes;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success in retaining or recruiting, or changes required in, officers, key employees or directors; the size of the addressable markets for our products and services;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impact of geopolitical, macroeconomic, supply chain and market conditions, including tariffs, inflation, the ongoing war between Russia and Ukraine, the war among Israel, Iran and the United States, and the global response to such hostilities, which may negatively affect our operating results;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risks and uncertainties described in this Quarterly Report, including in “Item 1A - Risk Factors”;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those factors in the other documents filed by Fold from time to time with the U.S. Securities and Exchange Commission (“SEC”).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discussion in this Quarterly Report should be read in conjunction with the condensed financial statements and notes thereto included in Item 1 of this Quarterly Report. Further, when reading this Quarterly Report, you should keep in mind those Risk Factors disclosed in the Company's Annual Report on Form 10-K for the year ended December 31, 2025 filed on March 17, 2026. Should one or more of </w:t>
      </w:r>
    </w:p>
    <w:p>
      <w:pPr>
        <w:pStyle w:val="TextBody"/>
        <w:pBdr>
          <w:top w:val="single" w:sz="6" w:space="1" w:color="000000"/>
        </w:pBdr>
        <w:bidi w:val="0"/>
        <w:jc w:val="center"/>
        <w:rPr>
          <w:rFonts w:ascii="Times New Roman" w:hAnsi="Times New Roman"/>
          <w:sz w:val="20"/>
        </w:rPr>
      </w:pPr>
      <w:r>
        <w:rPr>
          <w:rFonts w:ascii="Arial" w:hAnsi="Arial"/>
          <w:color w:val="000000"/>
          <w:sz w:val="16"/>
        </w:rPr>
        <w:t>- 4</w:t>
      </w:r>
      <w:r>
        <w:rPr>
          <w:rFonts w:ascii="Times New Roman" w:hAnsi="Times New Roman"/>
          <w:color w:val="000000"/>
          <w:sz w:val="20"/>
        </w:rPr>
        <w:t xml:space="preserve"> </w:t>
      </w:r>
      <w:r>
        <w:rPr>
          <w:rFonts w:ascii="Arial" w:hAnsi="Arial"/>
          <w:color w:val="000000"/>
          <w:sz w:val="16"/>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This Quarterly Report and all subsequent written and oral forward-looking statements attributable to us or any person acting on our behalf are expressly qualified in their entirety by the cautionary statements contained or referred to in this section. We do not undertake any obligation to release publicly any revisions to our forward-looking statements to reflect events or circumstances after the date of this Quarterly Report, except as may be required by law.</w:t>
      </w:r>
    </w:p>
    <w:p>
      <w:pPr>
        <w:pStyle w:val="TextBody"/>
        <w:bidi w:val="0"/>
        <w:spacing w:before="120" w:after="120"/>
        <w:jc w:val="both"/>
        <w:rPr/>
      </w:pPr>
      <w:r>
        <w:rPr/>
        <w:t> </w:t>
      </w:r>
    </w:p>
    <w:p>
      <w:pPr>
        <w:pStyle w:val="TextBody"/>
        <w:bidi w:val="0"/>
        <w:jc w:val="left"/>
        <w:rPr/>
      </w:pPr>
      <w:r>
        <w:rPr/>
        <w:t> </w:t>
      </w:r>
    </w:p>
    <w:p>
      <w:pPr>
        <w:pStyle w:val="TextBody"/>
        <w:bidi w:val="0"/>
        <w:jc w:val="left"/>
        <w:rPr/>
      </w:pPr>
      <w:r>
        <w:rPr/>
        <w:t> </w:t>
      </w:r>
    </w:p>
    <w:p>
      <w:pPr>
        <w:pStyle w:val="TextBody"/>
        <w:pBdr>
          <w:top w:val="single" w:sz="6" w:space="1" w:color="000000"/>
        </w:pBdr>
        <w:bidi w:val="0"/>
        <w:jc w:val="center"/>
        <w:rPr>
          <w:rFonts w:ascii="Times New Roman" w:hAnsi="Times New Roman"/>
          <w:sz w:val="20"/>
        </w:rPr>
      </w:pPr>
      <w:r>
        <w:rPr>
          <w:rFonts w:ascii="Arial" w:hAnsi="Arial"/>
          <w:color w:val="000000"/>
          <w:sz w:val="16"/>
        </w:rPr>
        <w:t>- 5</w:t>
      </w:r>
      <w:r>
        <w:rPr>
          <w:rFonts w:ascii="Times New Roman" w:hAnsi="Times New Roman"/>
          <w:color w:val="000000"/>
          <w:sz w:val="20"/>
        </w:rPr>
        <w:t xml:space="preserve"> </w:t>
      </w:r>
      <w:r>
        <w:rPr>
          <w:rFonts w:ascii="Arial" w:hAnsi="Arial"/>
          <w:color w:val="000000"/>
          <w:sz w:val="16"/>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60"/>
        <w:jc w:val="left"/>
        <w:rPr>
          <w:rFonts w:ascii="Times New Roman" w:hAnsi="Times New Roman"/>
          <w:b/>
          <w:color w:val="000000"/>
          <w:sz w:val="18"/>
        </w:rPr>
      </w:pPr>
      <w:r>
        <w:rPr>
          <w:rFonts w:ascii="Times New Roman" w:hAnsi="Times New Roman"/>
          <w:b/>
          <w:color w:val="000000"/>
          <w:sz w:val="18"/>
        </w:rPr>
        <w:t>PART I. FINANCIAL INFORMATION</w:t>
      </w:r>
    </w:p>
    <w:p>
      <w:pPr>
        <w:pStyle w:val="TextBody"/>
        <w:bidi w:val="0"/>
        <w:jc w:val="left"/>
        <w:rPr>
          <w:rFonts w:ascii="Times New Roman" w:hAnsi="Times New Roman"/>
          <w:b/>
          <w:color w:val="000000"/>
          <w:sz w:val="18"/>
          <w:u w:val="single"/>
        </w:rPr>
      </w:pPr>
      <w:r>
        <w:rPr>
          <w:rFonts w:ascii="Times New Roman" w:hAnsi="Times New Roman"/>
          <w:b/>
          <w:color w:val="000000"/>
          <w:sz w:val="18"/>
          <w:u w:val="single"/>
        </w:rPr>
        <w:t>Item 1. Unaudited Financial Statements</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w:t>
      </w:r>
      <w:r>
        <w:rPr>
          <w:rFonts w:ascii="Times New Roman" w:hAnsi="Times New Roman"/>
          <w:b/>
          <w:color w:val="000000"/>
          <w:sz w:val="18"/>
        </w:rPr>
        <w:t>old Holdings, Inc.</w:t>
      </w:r>
    </w:p>
    <w:p>
      <w:pPr>
        <w:pStyle w:val="TextBody"/>
        <w:bidi w:val="0"/>
        <w:jc w:val="center"/>
        <w:rPr>
          <w:rFonts w:ascii="Times New Roman" w:hAnsi="Times New Roman"/>
          <w:b/>
          <w:color w:val="000000"/>
          <w:sz w:val="18"/>
        </w:rPr>
      </w:pPr>
      <w:r>
        <w:rPr>
          <w:rFonts w:ascii="Times New Roman" w:hAnsi="Times New Roman"/>
          <w:b/>
          <w:color w:val="000000"/>
          <w:sz w:val="18"/>
        </w:rPr>
        <w:t>Condensed Balance Sheets</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32"/>
        <w:gridCol w:w="146"/>
        <w:gridCol w:w="211"/>
        <w:gridCol w:w="1201"/>
        <w:gridCol w:w="166"/>
        <w:gridCol w:w="146"/>
        <w:gridCol w:w="211"/>
        <w:gridCol w:w="1201"/>
        <w:gridCol w:w="391"/>
      </w:tblGrid>
      <w:tr>
        <w:trPr/>
        <w:tc>
          <w:tcPr>
            <w:tcW w:w="6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28,386,785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7,652,203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614,801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728,001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Credit card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2,753,588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847,308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478,045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Digital assets - rewards treasury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4,504,290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6,872,869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1,913,981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2,384,684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39,020,753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18,115,802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Digital assets - investment treasury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11,356,023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133,658,791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software development costs,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1,393,752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299,309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52,494,797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153,467,654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698,556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704,789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3,166,186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legal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1,374,828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February 2026 note - related party,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12,446,041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Customer rewards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4,504,290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6,872,869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366,252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21,243,867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21,110,096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June 2025 convertible note,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21,469,675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March 2025 convertible note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47,207,556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689,680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21,243,867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90,477,007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Commitments and contingencies (Note 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$0.0001 par value; 20,000,000 shares authorized, 0 shares issued and outstanding at June 30, 2026 and 0 shares issued and 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$0.0001 par value; 600,000,000 shares authorized, 55,407,302 shares issued and 55,021,701 shares outstanding at June 30, 2026 and 48,477,883 shares issued and 48,419,266 shares outstanding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241,003,835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233,924,782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(209,758,447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(170,938,984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31,250,930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62,990,647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52,494,797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153,467,654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8"/>
        </w:rPr>
        <w:t>Fold Holdings, Inc.</w:t>
      </w:r>
      <w:r>
        <w:rPr>
          <w:rFonts w:ascii="Times New Roman" w:hAnsi="Times New Roman"/>
          <w:color w:val="000000"/>
          <w:sz w:val="20"/>
        </w:rPr>
        <w:t xml:space="preserve"> </w:t>
      </w:r>
    </w:p>
    <w:p>
      <w:pPr>
        <w:pStyle w:val="TextBody"/>
        <w:bidi w:val="0"/>
        <w:jc w:val="center"/>
        <w:rPr>
          <w:rFonts w:ascii="Times New Roman" w:hAnsi="Times New Roman"/>
          <w:b/>
          <w:color w:val="000000"/>
          <w:sz w:val="18"/>
        </w:rPr>
      </w:pPr>
      <w:r>
        <w:rPr>
          <w:rFonts w:ascii="Times New Roman" w:hAnsi="Times New Roman"/>
          <w:b/>
          <w:color w:val="000000"/>
          <w:sz w:val="18"/>
        </w:rPr>
        <w:t>Condensed Statements of Operations</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left"/>
        <w:rPr/>
      </w:pPr>
      <w:r>
        <w:rPr/>
        <w:t> </w:t>
      </w:r>
    </w:p>
    <w:p>
      <w:pPr>
        <w:pStyle w:val="TextBody"/>
        <w:pBdr>
          <w:top w:val="single" w:sz="6" w:space="1" w:color="000000"/>
        </w:pBdr>
        <w:bidi w:val="0"/>
        <w:jc w:val="center"/>
        <w:rPr>
          <w:rFonts w:ascii="Times New Roman" w:hAnsi="Times New Roman"/>
          <w:sz w:val="20"/>
        </w:rPr>
      </w:pPr>
      <w:r>
        <w:rPr>
          <w:rFonts w:ascii="Arial" w:hAnsi="Arial"/>
          <w:color w:val="000000"/>
          <w:sz w:val="16"/>
        </w:rPr>
        <w:t>- 6</w:t>
      </w:r>
      <w:r>
        <w:rPr>
          <w:rFonts w:ascii="Times New Roman" w:hAnsi="Times New Roman"/>
          <w:color w:val="000000"/>
          <w:sz w:val="20"/>
        </w:rPr>
        <w:t xml:space="preserve"> </w:t>
      </w:r>
      <w:r>
        <w:rPr>
          <w:rFonts w:ascii="Arial" w:hAnsi="Arial"/>
          <w:color w:val="000000"/>
          <w:sz w:val="16"/>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24"/>
        <w:gridCol w:w="446"/>
        <w:gridCol w:w="211"/>
        <w:gridCol w:w="1036"/>
        <w:gridCol w:w="166"/>
        <w:gridCol w:w="146"/>
        <w:gridCol w:w="211"/>
        <w:gridCol w:w="1036"/>
        <w:gridCol w:w="166"/>
        <w:gridCol w:w="146"/>
        <w:gridCol w:w="211"/>
        <w:gridCol w:w="1096"/>
        <w:gridCol w:w="166"/>
        <w:gridCol w:w="146"/>
        <w:gridCol w:w="211"/>
        <w:gridCol w:w="1096"/>
        <w:gridCol w:w="491"/>
      </w:tblGrid>
      <w:tr>
        <w:trPr/>
        <w:tc>
          <w:tcPr>
            <w:tcW w:w="322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 net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6,089,909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8,175,926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11,682,218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15,263,763</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Banking and payments costs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5,108,245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7,682,621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9,914,619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14,441,545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Custody and trading costs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1,337,454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188,596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Compensation and benefits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3,790,067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3,676,657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7,824,334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10,134,597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Marketing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728,338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620,923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996,446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1,020,721</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fees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1,255,832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1,270,345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2,923,246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3,058,850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expense</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197,908</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loss on customer rewards liability</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2,071,505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970,648</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loss on digital assets - rewards treasury</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1,119,388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2,808,843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(1,324,091</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selling, general and administrative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1,689,247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1,264,422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3,399,228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2,400,876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13,858,543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14,501,444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27,281,165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31,089,650</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Operating loss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(7,768,634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(6,325,518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(15,598,947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(15,825,887</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(loss) on digital assets - investment treasury</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36,582,224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(28,524,298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20,965,072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SAFEs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(6,503,113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convertible note</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(5,309,608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13,200,089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(11,843,751</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note issuance costs and fees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(9,569,109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Legal settlements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(1,374,828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(1,374,828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(9,612,199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(4,005,132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(9,612,199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(1,974,849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(3,195,709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(3,246,487</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308,619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682,833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186,701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Other income (expense), net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(1,882,923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19,751,966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(23,217,045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(19,622,886</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before income taxes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(9,651,557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13,426,448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(38,815,992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(35,448,773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 (benefit)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4,859</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(9,651,557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13,425,567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(38,819,463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(35,453,632</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attributable to common stockholders: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(9,651,557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13,425,567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(38,819,463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(35,453,632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(9,651,557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13,425,567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(38,819,463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(35,453,632</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per share attributable to common stockholders: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(0.98</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(0.98</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shares used to compute net income (loss) per share:</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51,825,321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46,503,358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50,746,857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36,062,784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51,825,321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47,561,116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50,746,857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36,062,784</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8"/>
        </w:rPr>
        <w:t>Fold Holdings, Inc.</w:t>
      </w:r>
      <w:r>
        <w:rPr>
          <w:rFonts w:ascii="Times New Roman" w:hAnsi="Times New Roman"/>
          <w:color w:val="000000"/>
          <w:sz w:val="20"/>
        </w:rPr>
        <w:t xml:space="preserve"> </w:t>
      </w:r>
    </w:p>
    <w:p>
      <w:pPr>
        <w:pStyle w:val="TextBody"/>
        <w:bidi w:val="0"/>
        <w:jc w:val="center"/>
        <w:rPr>
          <w:rFonts w:ascii="Times New Roman" w:hAnsi="Times New Roman"/>
          <w:b/>
          <w:color w:val="000000"/>
          <w:sz w:val="18"/>
        </w:rPr>
      </w:pPr>
      <w:r>
        <w:rPr>
          <w:rFonts w:ascii="Times New Roman" w:hAnsi="Times New Roman"/>
          <w:b/>
          <w:color w:val="000000"/>
          <w:sz w:val="18"/>
        </w:rPr>
        <w:t>Condensed Statements of Stockholders' Equity</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left"/>
        <w:rPr/>
      </w:pPr>
      <w:r>
        <w:rPr/>
        <w:t> </w:t>
      </w:r>
    </w:p>
    <w:p>
      <w:pPr>
        <w:pStyle w:val="TextBody"/>
        <w:pBdr>
          <w:top w:val="single" w:sz="6" w:space="1" w:color="000000"/>
        </w:pBdr>
        <w:bidi w:val="0"/>
        <w:jc w:val="center"/>
        <w:rPr>
          <w:rFonts w:ascii="Times New Roman" w:hAnsi="Times New Roman"/>
          <w:sz w:val="20"/>
        </w:rPr>
      </w:pPr>
      <w:r>
        <w:rPr>
          <w:rFonts w:ascii="Arial" w:hAnsi="Arial"/>
          <w:color w:val="000000"/>
          <w:sz w:val="16"/>
        </w:rPr>
        <w:t>- 7</w:t>
      </w:r>
      <w:r>
        <w:rPr>
          <w:rFonts w:ascii="Times New Roman" w:hAnsi="Times New Roman"/>
          <w:color w:val="000000"/>
          <w:sz w:val="20"/>
        </w:rPr>
        <w:t xml:space="preserve"> </w:t>
      </w:r>
      <w:r>
        <w:rPr>
          <w:rFonts w:ascii="Arial" w:hAnsi="Arial"/>
          <w:color w:val="000000"/>
          <w:sz w:val="16"/>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793" w:type="dxa"/>
        <w:jc w:val="left"/>
        <w:tblInd w:w="0" w:type="dxa"/>
        <w:tblLayout w:type="fixed"/>
        <w:tblCellMar>
          <w:top w:w="28" w:type="dxa"/>
          <w:left w:w="28" w:type="dxa"/>
          <w:bottom w:w="28" w:type="dxa"/>
          <w:right w:w="28" w:type="dxa"/>
        </w:tblCellMar>
      </w:tblPr>
      <w:tblGrid>
        <w:gridCol w:w="1216"/>
        <w:gridCol w:w="146"/>
        <w:gridCol w:w="146"/>
        <w:gridCol w:w="976"/>
        <w:gridCol w:w="166"/>
        <w:gridCol w:w="146"/>
        <w:gridCol w:w="196"/>
        <w:gridCol w:w="571"/>
        <w:gridCol w:w="166"/>
        <w:gridCol w:w="146"/>
        <w:gridCol w:w="146"/>
        <w:gridCol w:w="916"/>
        <w:gridCol w:w="166"/>
        <w:gridCol w:w="146"/>
        <w:gridCol w:w="208"/>
        <w:gridCol w:w="543"/>
        <w:gridCol w:w="146"/>
        <w:gridCol w:w="146"/>
        <w:gridCol w:w="196"/>
        <w:gridCol w:w="1006"/>
        <w:gridCol w:w="166"/>
        <w:gridCol w:w="146"/>
        <w:gridCol w:w="196"/>
        <w:gridCol w:w="1066"/>
        <w:gridCol w:w="166"/>
        <w:gridCol w:w="146"/>
        <w:gridCol w:w="196"/>
        <w:gridCol w:w="1006"/>
        <w:gridCol w:w="211"/>
      </w:tblGrid>
      <w:tr>
        <w:trPr/>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Convertible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Preferred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10,204,880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5,836,882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33,537,989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(101,348,522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(67,808,929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(35,453,632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(35,453,632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Reverse recapitalization, net of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(10,204,880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39,163,783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173,821,543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173,824,439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 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6,895,480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6,895,495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Series B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March 2025 Closing Shares and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9,569,109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9,569,184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fair value of Series C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498,771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498,771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interest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102,893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646,657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646,667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placement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353,242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353,250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46,571,343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225,322,741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(136,802,154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88,525,245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48,477,883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233,924,782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(170,938,984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62,990,647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(38,819,463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(38,819,463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 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1,580,161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3,353,301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3,353,459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withheld for employee tax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(385,601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(949,300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(949,300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interest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613,309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613,334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Employee Stock Purchase Plan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57,485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85,647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85,653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4,402,410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3,008,581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3,009,021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commitment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785,148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785,200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for intellectual property acquisition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121,578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182,367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182,379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55,021,701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241,003,835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(209,758,447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31,250,930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top w:val="single" w:sz="6" w:space="1" w:color="000000"/>
        </w:pBdr>
        <w:bidi w:val="0"/>
        <w:jc w:val="center"/>
        <w:rPr>
          <w:rFonts w:ascii="Times New Roman" w:hAnsi="Times New Roman"/>
          <w:sz w:val="20"/>
        </w:rPr>
      </w:pPr>
      <w:r>
        <w:rPr>
          <w:rFonts w:ascii="Arial" w:hAnsi="Arial"/>
          <w:color w:val="000000"/>
          <w:sz w:val="16"/>
        </w:rPr>
        <w:t>- 8</w:t>
      </w:r>
      <w:r>
        <w:rPr>
          <w:rFonts w:ascii="Times New Roman" w:hAnsi="Times New Roman"/>
          <w:color w:val="000000"/>
          <w:sz w:val="20"/>
        </w:rPr>
        <w:t xml:space="preserve"> </w:t>
      </w:r>
      <w:r>
        <w:rPr>
          <w:rFonts w:ascii="Arial" w:hAnsi="Arial"/>
          <w:color w:val="000000"/>
          <w:sz w:val="16"/>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8"/>
        </w:rPr>
        <w:t>Fold Holdings, Inc.</w:t>
      </w:r>
      <w:r>
        <w:rPr>
          <w:rFonts w:ascii="Times New Roman" w:hAnsi="Times New Roman"/>
          <w:color w:val="000000"/>
          <w:sz w:val="20"/>
        </w:rPr>
        <w:t xml:space="preserve"> </w:t>
      </w:r>
    </w:p>
    <w:p>
      <w:pPr>
        <w:pStyle w:val="TextBody"/>
        <w:bidi w:val="0"/>
        <w:jc w:val="center"/>
        <w:rPr>
          <w:rFonts w:ascii="Times New Roman" w:hAnsi="Times New Roman"/>
          <w:b/>
          <w:color w:val="000000"/>
          <w:sz w:val="18"/>
        </w:rPr>
      </w:pPr>
      <w:r>
        <w:rPr>
          <w:rFonts w:ascii="Times New Roman" w:hAnsi="Times New Roman"/>
          <w:b/>
          <w:color w:val="000000"/>
          <w:sz w:val="18"/>
        </w:rPr>
        <w:t>Condensed Statements of Cash Flows</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tbl>
      <w:tblPr>
        <w:tblW w:w="7914" w:type="dxa"/>
        <w:jc w:val="left"/>
        <w:tblInd w:w="0" w:type="dxa"/>
        <w:tblLayout w:type="fixed"/>
        <w:tblCellMar>
          <w:top w:w="28" w:type="dxa"/>
          <w:left w:w="28" w:type="dxa"/>
          <w:bottom w:w="28" w:type="dxa"/>
          <w:right w:w="28" w:type="dxa"/>
        </w:tblCellMar>
      </w:tblPr>
      <w:tblGrid>
        <w:gridCol w:w="5061"/>
        <w:gridCol w:w="146"/>
        <w:gridCol w:w="181"/>
        <w:gridCol w:w="811"/>
        <w:gridCol w:w="151"/>
        <w:gridCol w:w="146"/>
        <w:gridCol w:w="181"/>
        <w:gridCol w:w="841"/>
        <w:gridCol w:w="396"/>
      </w:tblGrid>
      <w:tr>
        <w:trPr/>
        <w:tc>
          <w:tcPr>
            <w:tcW w:w="5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 Ended June 30,</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(38,819,463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(35,453,632</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330,064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197,908</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Loss (gain) on digital assets - rewards treasury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2,808,843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(1,324,091</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Loss (gain) on digital assets - investment treasury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28,524,298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(20,965,072</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(Gain) loss on customer rewards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(2,253,069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970,648</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Change in fair value of convertible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(13,200,089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11,843,751</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Convertible note issuance costs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9,569,109</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4,005,132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9,612,199</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Amortization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6,638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112,187</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Amortization of debt discount and premium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179,929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953,404</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Change in fair value of SAFEs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6,503,113</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3,353,459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6,895,480</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non-cash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(551,717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Increase (decrease) in cash resulting from changes 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113,200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(246,105</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Credit card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(2,753,588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(369,263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(67,489</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270,655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(603,030</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195,286</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1,017,227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1,376,866</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Accrued legal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1,374,828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Customer rewards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753,528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1,318,429</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(138,104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(133,156</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(689,680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293,114</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(16,043,405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(8,951,081</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Purchases of digital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(1,748,759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(2,374,030</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Proceeds from sales of digital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59,120,684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Payments for capitalized software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(740,184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(434,820</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56,631,741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(2,808,850</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Proceeds from issuance of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13,000,000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Repayment of convertible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(25,166,667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Proceeds from recapitalization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804,624</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Payments of deferred IPO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(652,013</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Payment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(113,320</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Proceeds from 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3,262,213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Proceeds from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10,000,000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Repayment of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(20,000,000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Common stock withheld for employee tax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(949,300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(19,853,754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39,291</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20,734,582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(11,720,640</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and cash equivalents,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7,652,203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18,330,359</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Cash and cash equivalents,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28,386,785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6,609,719</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Non-cash payment of interest with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613,334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646,667</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Distributions of digital assets to fulfill customer reward redemptions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869,038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1,489,430</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Distributions of digital assets to satisfy other current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1,089,777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46,955</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Non-cash payment for intellectual property acquisition with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182,379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Non-cash repayment of convertible note via transfer of digital assets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34,007,466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Non-cash amortization of deferred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167,539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Non-cash allocation of convertible note proceeds to embedded derivative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63,418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Non-cash allocation of note proceeds to commitment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785,200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Recapitalization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173,019,904</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Proceeds from convertible debt received in digital assets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43,965,525</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Change in fair value of Series C Warrants included in loss on extinguishment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498,771</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Distributions of digital assets for prepaid interest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2,313,975</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4"/>
              </w:rPr>
            </w:pPr>
            <w:r>
              <w:rPr>
                <w:rFonts w:ascii="Times New Roman" w:hAnsi="Times New Roman"/>
                <w:b/>
                <w:color w:val="000000"/>
                <w:sz w:val="14"/>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Cash paid during the period for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3,408,749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 ORGANIZATION AND DESCRIPTION OF BUSINESS</w:t>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0"/>
        </w:rPr>
        <w:t>Unless otherwise indicated or the context otherwise requires, references to “Fold,” “we,” “us,” “our,” and the “Company” refer to the business of Fold, Inc., a Delaware corporation, prior to the Closing of the Merger, and Fold Holdings, Inc. after the Closing of the Merger (as such terms are defined below). For any given valuation of bitcoin used herein, unless otherwise indicated, we use the market</w:t>
      </w:r>
      <w:r>
        <w:rPr>
          <w:rFonts w:ascii="Times New Roman" w:hAnsi="Times New Roman"/>
          <w:color w:val="000000"/>
          <w:sz w:val="20"/>
        </w:rPr>
        <w:t xml:space="preserve"> </w:t>
      </w:r>
    </w:p>
    <w:p>
      <w:pPr>
        <w:pStyle w:val="TextBody"/>
        <w:pBdr>
          <w:top w:val="single" w:sz="6" w:space="1" w:color="000000"/>
        </w:pBdr>
        <w:bidi w:val="0"/>
        <w:jc w:val="center"/>
        <w:rPr>
          <w:rFonts w:ascii="Times New Roman" w:hAnsi="Times New Roman"/>
          <w:sz w:val="20"/>
        </w:rPr>
      </w:pPr>
      <w:r>
        <w:rPr>
          <w:rFonts w:ascii="Arial" w:hAnsi="Arial"/>
          <w:color w:val="000000"/>
          <w:sz w:val="16"/>
        </w:rPr>
        <w:t>- 9</w:t>
      </w:r>
      <w:r>
        <w:rPr>
          <w:rFonts w:ascii="Times New Roman" w:hAnsi="Times New Roman"/>
          <w:color w:val="000000"/>
          <w:sz w:val="20"/>
        </w:rPr>
        <w:t xml:space="preserve"> </w:t>
      </w:r>
      <w:r>
        <w:rPr>
          <w:rFonts w:ascii="Arial" w:hAnsi="Arial"/>
          <w:color w:val="000000"/>
          <w:sz w:val="16"/>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price of bitcoin on the Coinbase exchange at 11:59:59 pm UTC on the date stated.</w:t>
      </w:r>
    </w:p>
    <w:p>
      <w:pPr>
        <w:pStyle w:val="TextBody"/>
        <w:bidi w:val="0"/>
        <w:jc w:val="left"/>
        <w:rPr/>
      </w:pPr>
      <w:r>
        <w:rPr/>
        <w:t> </w:t>
      </w:r>
    </w:p>
    <w:p>
      <w:pPr>
        <w:pStyle w:val="TextBody"/>
        <w:bidi w:val="0"/>
        <w:spacing w:before="240" w:after="120"/>
        <w:jc w:val="both"/>
        <w:rPr>
          <w:rFonts w:ascii="Times New Roman" w:hAnsi="Times New Roman"/>
          <w:b/>
          <w:i/>
          <w:color w:val="000000"/>
          <w:sz w:val="20"/>
        </w:rPr>
      </w:pPr>
      <w:r>
        <w:rPr>
          <w:rFonts w:ascii="Times New Roman" w:hAnsi="Times New Roman"/>
          <w:b/>
          <w:i/>
          <w:color w:val="000000"/>
          <w:sz w:val="20"/>
        </w:rPr>
        <w:t>Background and Business Combination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Fold Holdings, Inc. is a financial services company that operates across both U.S. dollars ("USD") and bitcoin, and is designed to connect these systems in a seamless manner. Fold’s consumer offerings include an FDIC-insured checking account, a Visa debit card (the "Fold Debit Card"), a Visa credit card (the "Fold Credit Card"), bill payment services, a bitcoin gift card, and an extensive catalog of merchant reward offers. The Company also offers various forms of bitcoin buying and selling with low-to-zero fees and insured custody. By integrating both dollars and bitcoin across traditional financial services, the Company aims to act as a key point of entry for consumers to engage with and integrate bitcoin into their everyday lives. The Company's products and services are available in the United States through the Fold mobile application (the “Fold App”).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On July 24, 2024, Fold, Inc. ("Fold Predecessor") entered into a definitive agreement (the “Merger Agreement”) with FTAC Emerald Acquisition Corp. (“FTAC Emerald”), a publicly-traded special purpose acquisition company, providing for a proposed business combination (the “Merger”). The Merger was consummated on February 14, 2025 (the "Closing"). Following the Merger, FTAC Emerald changed its name to Fold Holdings, Inc. and effectively assumed all of Fold Predecessor's material operations. The combined company now operates under the name Fold Holdings, Inc., and its common stock, par value $0.0001 per share ("Common Stock") and warrants trade on the Nasdaq under the ticker symbols “FLD” and “FLDDW,” respectively. The Company is a remote-first company and does not designate a physical headquarters.</w:t>
      </w:r>
    </w:p>
    <w:p>
      <w:pPr>
        <w:pStyle w:val="TextBody"/>
        <w:bidi w:val="0"/>
        <w:spacing w:before="240" w:after="120"/>
        <w:jc w:val="both"/>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June 30, 2026, the Company had cash and cash equivalents of $28.4 million and positive working capital of $17.8 million. The Company has a history of net operating losses, including an operating loss of $7.8 million for the three months ended June 30, 2026 and $15.6 million for the six months ended June 30, 2026. The Company has an accumulated deficit of $209.8 million as of June 30, 2026. Of that amount, $98.7 million relates to historical fair value adjustments on the Company's SAFE notes which converted to Common Stock upon the closing of the Merger, $9.6 million relates to the loss on extinguishment of the December 2024 Initial Investor Note in June 2025, and $4.0 million relates to loss on extinguishment of debt recognized during the six months ended June 30, 2026.</w:t>
      </w:r>
    </w:p>
    <w:p>
      <w:pPr>
        <w:pStyle w:val="TextBody"/>
        <w:bidi w:val="0"/>
        <w:jc w:val="both"/>
        <w:rPr>
          <w:rFonts w:ascii="Times New Roman" w:hAnsi="Times New Roman"/>
          <w:color w:val="000000"/>
          <w:sz w:val="20"/>
        </w:rPr>
      </w:pPr>
      <w:r>
        <w:rPr>
          <w:rFonts w:ascii="Times New Roman" w:hAnsi="Times New Roman"/>
          <w:color w:val="000000"/>
          <w:sz w:val="20"/>
        </w:rPr>
        <w:t xml:space="preserve">As of June 30, 2026, the Company held 194 bitcoin in our Investment Treasury (as defined below), valued at $11.4 million based on the price of bitcoin as of that date. During February 2026, the Company sold 200 bitcoin for approximately $14.4 million, with the proceeds used in connection with the extinguishment of the June 2025 Amended Investor Note, as discussed below. During June 2026, the Company sold 632 bitcoin from its Investment Treasury for proceeds of $44.7 million, or approximately $70.8 thousand per bitcoin. From those proceeds, $20.0 million was used to repay in full the outstanding balance under the Company's Credit Facility (as defined below), and the remaining $24.7 million was retained as unrestricted cash for general corporate purposes. As of June 30, 2026, we do not have any bitcoin held as collateral and restricted from operating use.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As of June 30, 2026, we held 77 bitcoin in our Rewards Treasury (as defined below), valued at $4.5 million, which matched our existing customer rewards liability, which is denominated in bitcoin. The Company anticipates being able to cover the costs for future rewards via future revenues and operational capital on hand.</w:t>
      </w:r>
    </w:p>
    <w:p>
      <w:pPr>
        <w:pStyle w:val="TextBody"/>
        <w:bidi w:val="0"/>
        <w:jc w:val="both"/>
        <w:rPr>
          <w:rFonts w:ascii="Times New Roman" w:hAnsi="Times New Roman"/>
          <w:color w:val="000000"/>
          <w:sz w:val="20"/>
        </w:rPr>
      </w:pPr>
      <w:r>
        <w:rPr>
          <w:rFonts w:ascii="Times New Roman" w:hAnsi="Times New Roman"/>
          <w:color w:val="000000"/>
          <w:sz w:val="20"/>
        </w:rPr>
        <w:t>The Company maintains a revolving credit facility (the "Credit Facility") with Two Prime Lending Limited ("Two Prime"), pursuant to which the Company, upon the deposit of bitcoin as collateral, may borrow from Two Prime up to $45.0 million at an interest rate of 8.5% per annum. As of June 30, 2026, the Company has repaid in full the outstanding balance pursuant to the Credit Facility, and no bitcoin is held as collateral under this Credit Facility. The Credit Facility has an initial one-year term from October 1, 2025, which automatically renews for successive one-year periods unless either party provides termination notice, and remains available for future borrowings, subject to its terms. Refer to Note 9 for further information.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February 26, 2026, the Company closed on a transaction pursuant to which the March 2025 Investor Note was extinguished, at which time the 500 bitcoin that had been reserved as collateral for this note, valued at approximately $34.0 million, were returned to the investor. In conjunction with the extinguishment of the March 2025 Investor Note, the Company issued the February 2026 Investor Note (as defined in Note 9) for $13.0 million. On February 27, 2026, the June 2025 Amended Investor Note was extinguished with a cash repayment of $27.5 million, which included cash proceeds from the aforementioned sale of 200 bitcoin and additional cash proceeds received from the February 2026 Investor Note. Refer to Note 9 for further information regarding these transactions.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June 2025, the Company entered into an agreement for a $250 million equity purchase facility (the “Facility”). Pursuant to the Facility, the Company, in its sole discretion, has the right, but not the obligation, to issue and sell up to $250 million in newly issued shares of the Company’s Common Stock, subject to certain conditions. The Company is not required to use the Facility and controls the timing and amount of any drawdown on the Facility, subject to certain restrictions under the Facility. The Company expects that any proceeds </w:t>
      </w:r>
    </w:p>
    <w:p>
      <w:pPr>
        <w:pStyle w:val="TextBody"/>
        <w:pBdr>
          <w:top w:val="single" w:sz="6" w:space="1" w:color="000000"/>
        </w:pBdr>
        <w:bidi w:val="0"/>
        <w:jc w:val="center"/>
        <w:rPr>
          <w:rFonts w:ascii="Times New Roman" w:hAnsi="Times New Roman"/>
          <w:sz w:val="20"/>
        </w:rPr>
      </w:pPr>
      <w:r>
        <w:rPr>
          <w:rFonts w:ascii="Arial" w:hAnsi="Arial"/>
          <w:color w:val="000000"/>
          <w:sz w:val="16"/>
        </w:rPr>
        <w:t>- 10</w:t>
      </w:r>
      <w:r>
        <w:rPr>
          <w:rFonts w:ascii="Times New Roman" w:hAnsi="Times New Roman"/>
          <w:color w:val="000000"/>
          <w:sz w:val="20"/>
        </w:rPr>
        <w:t xml:space="preserve"> </w:t>
      </w:r>
      <w:r>
        <w:rPr>
          <w:rFonts w:ascii="Arial" w:hAnsi="Arial"/>
          <w:color w:val="000000"/>
          <w:sz w:val="16"/>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received by it from the Facility will be used for, without limitation, working capital, general corporate purposes, and purchasing additional bitcoin for the Company’s corporate treasury should the conditions to do so align with our treasury strategy. As of June 30, 2026, the Company sold 5.82 million shares of Common Stock pursuant to the Facility for gross proceeds of $7.5 million, and recognized $0.2 million of amortization related to deferred issuance costs. Refer to Note 10 for further information.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performs an evaluation to determine whether there are conditions or events (known and reasonably knowable), considered in the aggregate, that raise substantial doubt about the Company’s ability to continue as a going concern within one year after the date that the condensed financial statements are available to be issued. Management expects that the Company’s existing cash and cash equivalents, accounts receivable, financing available from the Credit Facility and the Facility, and digital assets on hand through the date of filing, will be sufficient to enable the Company to fund its anticipated level of operations through one year from the date of this report.</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There is limited historical financial information about the Company upon which to base an evaluation of its performance. The business is subject to risks inherent in the establishment of an emerging growth enterprise, including limited capital resources, possible delays in product development, and possible cost overruns due to price and cost increases in services. The Company may require additional capital to pursue certain business opportunities or respond to technological advancements, competitive dynamics or technologies, customer demands, challenges, or unforeseen circumstances.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may continue to pursue additional capital via various capital instruments in the future; however, such funding may not be available on terms acceptable to us or at all. Although management believes that such capital sources will continue to be available, there can be no assurances that financing will be available to the Company when needed, or if available, on terms acceptable to the Company. If the Company is unable to obtain adequate financing on terms that are satisfactory to the Company, when the Company requires it, the Company’s ability to continue to grow or support the business and to respond to business challenges could be significantly limited, which may adversely affect the Company’s business plan.</w:t>
      </w:r>
    </w:p>
    <w:p>
      <w:pPr>
        <w:pStyle w:val="TextBody"/>
        <w:bidi w:val="0"/>
        <w:jc w:val="left"/>
        <w:rPr/>
      </w:pPr>
      <w:r>
        <w:rPr/>
        <w:t> </w:t>
      </w:r>
    </w:p>
    <w:p>
      <w:pPr>
        <w:pStyle w:val="TextBody"/>
        <w:bidi w:val="0"/>
        <w:spacing w:before="360" w:after="283"/>
        <w:jc w:val="both"/>
        <w:rPr>
          <w:rFonts w:ascii="Times New Roman" w:hAnsi="Times New Roman"/>
          <w:b/>
          <w:color w:val="231F20"/>
          <w:sz w:val="20"/>
        </w:rPr>
      </w:pPr>
      <w:r>
        <w:rPr>
          <w:rFonts w:ascii="Times New Roman" w:hAnsi="Times New Roman"/>
          <w:b/>
          <w:color w:val="231F20"/>
          <w:sz w:val="20"/>
        </w:rPr>
        <w:t>2. SUMMARY OF SIGNIFICANT ACCOUNTING POLICIES</w:t>
      </w:r>
    </w:p>
    <w:p>
      <w:pPr>
        <w:pStyle w:val="TextBody"/>
        <w:bidi w:val="0"/>
        <w:spacing w:before="120" w:after="283"/>
        <w:jc w:val="both"/>
        <w:rPr>
          <w:rFonts w:ascii="Times New Roman" w:hAnsi="Times New Roman"/>
          <w:b/>
          <w:i/>
          <w:color w:val="231F20"/>
          <w:sz w:val="20"/>
        </w:rPr>
      </w:pPr>
      <w:r>
        <w:rPr>
          <w:rFonts w:ascii="Times New Roman" w:hAnsi="Times New Roman"/>
          <w:b/>
          <w:i/>
          <w:color w:val="231F20"/>
          <w:sz w:val="20"/>
        </w:rPr>
        <w:t>Basis of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unaudited financial statements have been prepared in accordance with United States generally accepted accounting principles (“U.S. GAAP”) and include the accounts of the Company.</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Certain information or footnote disclosures normally included in financial statements prepared in accordance with U.S. GAAP have been condensed or omitted, pursuant to the rules and regulations of the SEC for interim financial reporting. These condensed financial statements and accompanying notes should be read in conjunction with the audited financial statements and accompanying notes for the years ended December 31, 2025 and 2024. Accordingly, they do not include all the information and footnotes necessary for a complete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 The interim results for the periods presented are not necessarily indicative of the results to be expected for the year ended December 31, 2026, or for any future periods.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preparation of the financial statements in accordance with U.S. GAAP requires management to make estimates and assumptions that affect the reported amounts of assets, liabilities, and expenses, as well as related disclosure of contingent assets and liabilities. The Company bases its estimates on historical experience and on assumptions that the Company believes are reasonable; however, actual results could significantly differ from those estimates. The Company evaluates these estimates on an ongoing basis. </w:t>
      </w:r>
    </w:p>
    <w:p>
      <w:pPr>
        <w:pStyle w:val="TextBody"/>
        <w:bidi w:val="0"/>
        <w:spacing w:before="0" w:after="120"/>
        <w:jc w:val="both"/>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Estimates, judgments, and assumptions in these financial statements include, but are not limited to, those related to the determination of the recognition, measurement, and valuation of current and deferred income taxes; the useful lives and impairment assessment of long-lived assets; the fair value of convertible notes; allowance for credit losses; the fair value of customer reward liability derivative instruments; and loss contingency identification and valuation, including assessing the likelihood of adverse outcomes from positions, claims, and disputes, recoveries of losses recorded, and associated timing.</w:t>
      </w:r>
    </w:p>
    <w:p>
      <w:pPr>
        <w:pStyle w:val="TextBody"/>
        <w:bidi w:val="0"/>
        <w:spacing w:before="240" w:after="283"/>
        <w:jc w:val="both"/>
        <w:rPr>
          <w:rFonts w:ascii="Times New Roman" w:hAnsi="Times New Roman"/>
          <w:sz w:val="20"/>
        </w:rPr>
      </w:pPr>
      <w:r>
        <w:rPr>
          <w:rFonts w:ascii="Times New Roman" w:hAnsi="Times New Roman"/>
          <w:b/>
          <w:i/>
          <w:color w:val="000000"/>
          <w:sz w:val="20"/>
        </w:rPr>
        <w:t>Segment information</w:t>
      </w:r>
      <w:r>
        <w:rPr>
          <w:rFonts w:ascii="Times New Roman" w:hAnsi="Times New Roman"/>
          <w:color w:val="000000"/>
          <w:sz w:val="20"/>
        </w:rPr>
        <w:t xml:space="preserve"> </w:t>
      </w:r>
    </w:p>
    <w:p>
      <w:pPr>
        <w:pStyle w:val="TextBody"/>
        <w:pBdr>
          <w:top w:val="single" w:sz="6" w:space="1" w:color="000000"/>
        </w:pBdr>
        <w:bidi w:val="0"/>
        <w:jc w:val="center"/>
        <w:rPr>
          <w:rFonts w:ascii="Times New Roman" w:hAnsi="Times New Roman"/>
          <w:sz w:val="20"/>
        </w:rPr>
      </w:pPr>
      <w:r>
        <w:rPr>
          <w:rFonts w:ascii="Arial" w:hAnsi="Arial"/>
          <w:color w:val="000000"/>
          <w:sz w:val="16"/>
        </w:rPr>
        <w:t>- 11</w:t>
      </w:r>
      <w:r>
        <w:rPr>
          <w:rFonts w:ascii="Times New Roman" w:hAnsi="Times New Roman"/>
          <w:color w:val="000000"/>
          <w:sz w:val="20"/>
        </w:rPr>
        <w:t xml:space="preserve"> </w:t>
      </w:r>
      <w:r>
        <w:rPr>
          <w:rFonts w:ascii="Arial" w:hAnsi="Arial"/>
          <w:color w:val="000000"/>
          <w:sz w:val="16"/>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Operating segments are defined as components of an enterprise about which separate financial information is evaluated regularly by the Chief Operating Decision Maker (“CODM”), who is our Chief Executive Officer, in deciding how to allocate resources and assessing performance. During the six months ended June 30, 2026 and 2025, all operations were within the United States. The CODM allocates resources and assesses performance based upon financial information at the entity-wide level. Since the CODM makes operating decisions and allocates resources on an entity-wide basis, Fold operates as one operating segment and one reportable segment.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primary financial measure used by the CODM to evaluate performance is operating income (loss) as shown on the statements of operations. Segment expenses and other segment items are provided to the CODM on the same basis as disclosed in the statements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CODM does not evaluate performance or allocate resources based on segment assets, and therefore such information is not presented in the notes to the financial statements.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Capitalized software development costs,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capitalizes significant costs incurred in the acquisition or development of the internal software for use in the Company's various service offerings. The Company incurs costs in developing software inclusive of direct external costs and internal payroll costs. Internal payroll costs typically include salaries and wages. Capitalized software costs are stated at cost net of accumulated amortization. Amortization is provided utilizing the straight-line method over the estimated useful life of the software, which is three years. Costs incurred in the preliminary and post-implementation phases of the Company's internal use software are expensed as incurred. The Company also capitalizes intangible assets acquired in connection with asset acquisitions where the nature and useful life of the acquired assets are consistent with internally developed software costs.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Capitalized software development costs consisted of the following:</w:t>
      </w:r>
    </w:p>
    <w:p>
      <w:pPr>
        <w:pStyle w:val="TextBody"/>
        <w:bidi w:val="0"/>
        <w:jc w:val="both"/>
        <w:rPr/>
      </w:pPr>
      <w:r>
        <w:rPr/>
        <w:t> </w:t>
      </w:r>
    </w:p>
    <w:tbl>
      <w:tblPr>
        <w:tblW w:w="6370" w:type="dxa"/>
        <w:jc w:val="left"/>
        <w:tblInd w:w="0" w:type="dxa"/>
        <w:tblLayout w:type="fixed"/>
        <w:tblCellMar>
          <w:top w:w="28" w:type="dxa"/>
          <w:left w:w="28" w:type="dxa"/>
          <w:bottom w:w="28" w:type="dxa"/>
          <w:right w:w="28" w:type="dxa"/>
        </w:tblCellMar>
      </w:tblPr>
      <w:tblGrid>
        <w:gridCol w:w="2701"/>
        <w:gridCol w:w="146"/>
        <w:gridCol w:w="223"/>
        <w:gridCol w:w="1052"/>
        <w:gridCol w:w="166"/>
        <w:gridCol w:w="146"/>
        <w:gridCol w:w="318"/>
        <w:gridCol w:w="1407"/>
        <w:gridCol w:w="21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software,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3,038,489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2,314,121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(1,052,238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(920,369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software,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1,986,251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1,393,752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2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gross carrying amount of internally developed software costs that had been capitalized but not placed into service is as follows:</w:t>
      </w:r>
    </w:p>
    <w:p>
      <w:pPr>
        <w:pStyle w:val="TextBody"/>
        <w:bidi w:val="0"/>
        <w:jc w:val="both"/>
        <w:rPr/>
      </w:pPr>
      <w:r>
        <w:rPr/>
        <w:t> </w:t>
      </w:r>
    </w:p>
    <w:tbl>
      <w:tblPr>
        <w:tblW w:w="7305" w:type="dxa"/>
        <w:jc w:val="left"/>
        <w:tblInd w:w="0" w:type="dxa"/>
        <w:tblLayout w:type="fixed"/>
        <w:tblCellMar>
          <w:top w:w="28" w:type="dxa"/>
          <w:left w:w="28" w:type="dxa"/>
          <w:bottom w:w="28" w:type="dxa"/>
          <w:right w:w="28" w:type="dxa"/>
        </w:tblCellMar>
      </w:tblPr>
      <w:tblGrid>
        <w:gridCol w:w="3676"/>
        <w:gridCol w:w="146"/>
        <w:gridCol w:w="271"/>
        <w:gridCol w:w="1004"/>
        <w:gridCol w:w="146"/>
        <w:gridCol w:w="146"/>
        <w:gridCol w:w="367"/>
        <w:gridCol w:w="1358"/>
        <w:gridCol w:w="19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software not placed into 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544,770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594,096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recorded amortization expense on capitalized software development costs placed into service in the amount of $0.2 million and $0.1 million during the three months ended June 30, 2026 and 2025, respectively, and $0.3 million and $0.2 million during the six months ended June 30, 2026 and 2025, respectively. During the three months ended March 31, 2026, the Company recorded a nominal amount of amortization expense related to the write-off and abandonment of projects, which is included within the six-month amortization expense noted above. There were no comparable write-offs during the six months ended June 30, 2025.</w:t>
      </w:r>
    </w:p>
    <w:p>
      <w:pPr>
        <w:pStyle w:val="TextBody"/>
        <w:bidi w:val="0"/>
        <w:jc w:val="both"/>
        <w:rPr/>
      </w:pPr>
      <w:r>
        <w:rPr/>
        <w:t> </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Customer rewards liability</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offers certain rewards to its users through the Fold Rewards Program. This program allows the Company's users to earn promotional credits denominated in bitcoin by engaging in various actions, either by engaging in qualifying spend transactions (the “Revenue Rewards”) or performing certain actions designated by the Company as primarily for marketing, growth, and retention purposes (the “Marketing Rewards”). Revenue Rewards are defined as those that are earned in direct relation to a qualifying spend transaction such as spending on the Fold Debit Card or the Fold Credit Card, purchasing bitcoin, purchasing merchant offers, etc. Marketing Rewards are defined as those that are earned for behaviors unrelated to qualifying spend transactions such as sign-up bonuses, referral bonuses, spinning the daily spin wheel, etc. For accounting purposes, any reward that derives from a transaction where Fold receives revenue constitutes a Revenue Reward, whereas all other rewards constitute Marketing Rewards.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Revenue Rewards are considered earned at the time of the qualifying spend transaction. Revenue Rewards are immediately available for redemption by the user, except for those related to Fold Debit Card and Fold Credit Card transactions which cannot be redeemed until after a 30-day settlement period. Marketing Rewards are earned and available immediately upon the performance of a qualifying action by the user. To redeem available rewards, a user may request a withdrawal to a personal bitcoin wallet. </w:t>
      </w:r>
    </w:p>
    <w:p>
      <w:pPr>
        <w:pStyle w:val="TextBody"/>
        <w:pBdr>
          <w:top w:val="single" w:sz="6" w:space="1" w:color="000000"/>
        </w:pBdr>
        <w:bidi w:val="0"/>
        <w:jc w:val="center"/>
        <w:rPr>
          <w:rFonts w:ascii="Times New Roman" w:hAnsi="Times New Roman"/>
          <w:sz w:val="20"/>
        </w:rPr>
      </w:pPr>
      <w:r>
        <w:rPr>
          <w:rFonts w:ascii="Arial" w:hAnsi="Arial"/>
          <w:color w:val="000000"/>
          <w:sz w:val="16"/>
        </w:rPr>
        <w:t>- 12</w:t>
      </w:r>
      <w:r>
        <w:rPr>
          <w:rFonts w:ascii="Times New Roman" w:hAnsi="Times New Roman"/>
          <w:color w:val="000000"/>
          <w:sz w:val="20"/>
        </w:rPr>
        <w:t xml:space="preserve"> </w:t>
      </w:r>
      <w:r>
        <w:rPr>
          <w:rFonts w:ascii="Arial" w:hAnsi="Arial"/>
          <w:color w:val="000000"/>
          <w:sz w:val="16"/>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accrues both Revenue Rewards and Marketing Rewards (collectively, the "Rewards") within ‘Customer rewards liability’ in our accompanying balance sheets at the time the Reward is earned, with the corresponding impact on our statements of operations dependent on the type of Reward. Revenue Rewards are recorded as a reduction in the transaction price of the related revenue earned. Marketing Rewards are recorded as a marketing expense within operating expenses. The liability is initially recorded at the fair value of the bitcoin earned upon the action by the user and subsequently marked to fair value until redeemed or reversed, with gains and losses on this liability recorded within gain (loss) on customer rewards liability in our accompanying statements of operations. The liability is derecognized when the Reward is redeemed by the user and delivered to the user's bitcoin wallet.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Per the terms and conditions of the Fold Rewards Program, Rewards are subject to adjustment for chargebacks, returns, refunds, or other circumstances. In addition, Rewards are subject to expiry if users fail to maintain an active account for more than twelve consecutive months. The Company estimates the amount of Rewards that will expire based on historical data, current user trends, and other factors and records those estimated amounts in the period those Rewards were earned. These accruals are accounted for as an adjustment to the transaction price of the original revenue transaction if the expiration relates to Revenue Rewards, or as contra-expense within marketing expense if the expiration relates to Marketing Rewards.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Derivatives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our customer rewards liability results in an obligation to deliver a fixed amount of digital assets in the future, the Company has determined that it meets the definition of a derivative and marked it to fair value as discussed above. The Company has not designated this derivative instrument as a hedging instrument. As of June 30, 2026 and December 31, 2025, the notional amount of the customer rewards liability outstanding was 77 and 79 bitcoin, respectively, and the derivative instrument was valued at $4.5 million and $6.9 million, respectively, within 'Customer rewards liability' on our accompanying balance sheets. The Company recorded a gain of $0.7 million and a loss of $2.1 million during the three months ended June 30, 2026 and 2025, respectively, and a gain of $2.3 million and a loss of $1.0 million during the six months ended June 30, 2026 and 2025, respectively. For more detail on the fair value measurement of this derivative instrument, refer to Note 14.</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b/>
          <w:i/>
          <w:color w:val="000000"/>
          <w:sz w:val="20"/>
        </w:rPr>
        <w:t>Exchange or Modification of Debt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consider modifications or exchanges of debt as extinguishments in accordance with Accounting Standards Codification ("ASC") No. 470, Debt, with gains or losses recognized in current earnings if the terms of the new debt and original instrument are substantially different. If the original and new debt instruments are substantially different, the original debt is derecognized and the new debt is initially recorded at fair value. When freestanding instruments, such as equity-classified shares or bifurcated derivative liabilities, are issued in connection with the new debt, the total proceeds are allocated among the instruments using a combination of the with-and-without method and the relative fair value method. Under this approach, proceeds equal to the fair value of any instruments required to be measured at fair value on a recurring basis, such as bifurcated derivative liabilities accounted for under ASC 815, are first allocated to those instruments using the with-and-without method. The remaining proceeds are then allocated among any remaining freestanding instruments, such as equity-classified shares, using the relative fair value method, with the debt host recorded at its allocated amount.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difference between the carrying amount of the extinguished debt and the consideration transferred is recognized as an extinguishment gain or loss. Under an exchange or modification accounted for as a debt extinguishment, fees paid to the lender are included in the gain or loss on extinguishment of debt. Costs incurred with third parties, such as legal fees, directly related to the exchange or modification are capitalized as deferred financing costs and amortized over the initial term of the new debt. Previously deferred fees and costs for existing debt are included in the calculation of gain or loss on extinguishment.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Under an exchange or modification not accounted for as a debt extinguishment, fees paid to the lenders are reflected as additional debt discount and amortized as non-cash interest expense over the remaining initial term of the exchanged or modified debt. Costs incurred with third parties, such as legal fees, directly related to the exchange or modification, are expensed as incurred, and previously deferred fees and costs are amortized as non-cash interest expense over the remaining initial term of the exchanged or modified debt.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Certain debt instruments may be designated at fair value under the fair value option election in accordance with ASC 825-10, with changes in fair value recognized in earnings each period. Upon extinguishment of a debt instrument carried at fair value, the carrying value equals its fair value on the reacquisition date. Any cumulative changes in fair value attributable to instrument-specific credit risk previously recognized in accumulated other comprehensive income are reclassified to earnings upon extinguishment, while changes attributable to other factors are recognized directly in net income as they occur.</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Fold Credit Card Program</w:t>
      </w:r>
    </w:p>
    <w:p>
      <w:pPr>
        <w:pStyle w:val="TextBody"/>
        <w:bidi w:val="0"/>
        <w:jc w:val="left"/>
        <w:rPr/>
      </w:pPr>
      <w:r>
        <w:rPr/>
        <w:t> </w:t>
      </w:r>
    </w:p>
    <w:p>
      <w:pPr>
        <w:pStyle w:val="TextBody"/>
        <w:pBdr>
          <w:top w:val="single" w:sz="6" w:space="1" w:color="000000"/>
        </w:pBdr>
        <w:bidi w:val="0"/>
        <w:jc w:val="center"/>
        <w:rPr>
          <w:rFonts w:ascii="Times New Roman" w:hAnsi="Times New Roman"/>
          <w:sz w:val="20"/>
        </w:rPr>
      </w:pPr>
      <w:r>
        <w:rPr>
          <w:rFonts w:ascii="Arial" w:hAnsi="Arial"/>
          <w:color w:val="000000"/>
          <w:sz w:val="16"/>
        </w:rPr>
        <w:t>- 13</w:t>
      </w:r>
      <w:r>
        <w:rPr>
          <w:rFonts w:ascii="Times New Roman" w:hAnsi="Times New Roman"/>
          <w:color w:val="000000"/>
          <w:sz w:val="20"/>
        </w:rPr>
        <w:t xml:space="preserve"> </w:t>
      </w:r>
      <w:r>
        <w:rPr>
          <w:rFonts w:ascii="Arial" w:hAnsi="Arial"/>
          <w:color w:val="000000"/>
          <w:sz w:val="16"/>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partnership with a credit card issuing bank (the “Issuing Bank”), the Company offers the Fold Credit Card to cardholders. Credit card receivables represent amounts due from cardholders for purchases, fees, and other charges incurred through the use of the Fold Credit Card. Pursuant to the program agreements, the Company is obligated to purchase all receivables arising under the program, and accordingly, bears the risk of loss associated with cardholder nonpayment following purchase of the receivables. This commitment has been evaluated in accordance with ASC 860 and Fold has determined they are the owner of all purchased receivables from the Issuing Bank. The Company has an ongoing commitment to fund future receivable purchases as cardholder activity occurs. The amount of future receivable purchases will fluctuate based on cardholder spending volumes, credit utilization, and repayment behavior. As the owner of the receivables, the Company records credit card receivables, net of an allowance for expected credit losses in credit card receivables, net on the condensed balance sheets.</w:t>
      </w:r>
    </w:p>
    <w:p>
      <w:pPr>
        <w:pStyle w:val="TextBody"/>
        <w:bidi w:val="0"/>
        <w:jc w:val="left"/>
        <w:rPr>
          <w:rFonts w:ascii="Times New Roman" w:hAnsi="Times New Roman"/>
          <w:color w:val="000000"/>
          <w:sz w:val="20"/>
        </w:rPr>
      </w:pPr>
      <w:r>
        <w:rPr>
          <w:rFonts w:ascii="Times New Roman" w:hAnsi="Times New Roman"/>
          <w:color w:val="000000"/>
          <w:sz w:val="20"/>
        </w:rPr>
        <w:br/>
        <w:t>The allowance for expected credit losses is estimated in accordance with ASC 326 and reflects management’s estimate of lifetime expected losses based on historical loss experience, delinquency, market trends, charge off trends by FICO cohort and aging trends, and other relevant portfolio-level factors. The Company uses a roll-rate methodology, which applies historical delinquency migration and loss patterns to the outstanding receivable balance, to estimate expected losses. The provision for expected credit losses related to credit card receivables is recorded within other selling, general and administrative expenses in the condensed statement of operations and is nominal for both the three and six months ended June 30, 2026.</w:t>
      </w:r>
    </w:p>
    <w:p>
      <w:pPr>
        <w:pStyle w:val="TextBody"/>
        <w:bidi w:val="0"/>
        <w:spacing w:before="120" w:after="283"/>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Debt and related instruments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February 2026, the Company extinguished all previously outstanding convertible notes and separately entered into the February 2026 Investor Note (as defined below). The Company accounts for the February 2026 Investor Note at amortized cost using the effective interest method.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evaluates its debt instruments for embedded features requiring bifurcation in accordance with ASC 815. Embedded features that are not clearly and closely related to the debt host, are not remeasured at fair value under otherwise applicable GAAP, and that would qualify as derivatives on a standalone basis, are bifurcated and recorded as derivative liabilities at fair value, with subsequent changes in fair value recognized in earnings. The bifurcated derivative liability is remeasured at each reporting date, with changes in fair value recognized in the condensed statements of operations. Refer to Note 9 for further information.</w:t>
      </w:r>
    </w:p>
    <w:p>
      <w:pPr>
        <w:pStyle w:val="TextBody"/>
        <w:bidi w:val="0"/>
        <w:spacing w:before="240" w:after="200"/>
        <w:jc w:val="both"/>
        <w:rPr>
          <w:rFonts w:ascii="Times New Roman" w:hAnsi="Times New Roman"/>
          <w:b/>
          <w:i/>
          <w:color w:val="000000"/>
          <w:sz w:val="20"/>
        </w:rPr>
      </w:pPr>
      <w:r>
        <w:rPr>
          <w:rFonts w:ascii="Times New Roman" w:hAnsi="Times New Roman"/>
          <w:b/>
          <w:i/>
          <w:color w:val="000000"/>
          <w:sz w:val="20"/>
        </w:rPr>
        <w:t>Recently issued accounting pronouncements not yet adopted</w:t>
      </w:r>
    </w:p>
    <w:p>
      <w:pPr>
        <w:pStyle w:val="TextBody"/>
        <w:bidi w:val="0"/>
        <w:spacing w:before="40" w:after="283"/>
        <w:jc w:val="both"/>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Expense Disaggregation Disclosures</w:t>
      </w:r>
      <w:r>
        <w:rPr>
          <w:rFonts w:ascii="Times New Roman" w:hAnsi="Times New Roman"/>
          <w:color w:val="000000"/>
          <w:sz w:val="20"/>
        </w:rPr>
        <w:t xml:space="preserve"> (Topic 220), which requires entities to include more detailed information about the types of expenses, including purchases of inventory, employee compensation, depreciation, and amortization, in commonly presented expense captions such as cost of sales, research and development, and selling, general and administrative expenses. In January 2025, the FASB issued ASU 2025-01 “Income Statement Reporting Comprehensive Income - Expense Disaggregation Disclosures (Subtopic 220-40): Clarifying the Effective Date” (“ASU 2025-01”) which clarifies the effective date of Accounting Standards Update 2024-03 “Income Statement Reporting Comprehensive Income - Expense Disaggregation Disclosures (Subtopic 220-40): Disaggregation of Income Statement Expenses” (“ASU 2024-03”) to stipulate that ASU 2024-03 is effective for public business entities for annual reporting periods beginning after December 15, 2026 and interim reporting periods beginning after December 15, 2027, with early adoption permitted. ASU 2024-03 will be effective for the Company beginning January 1, 2027 for the Company’s annual financial statements on Form 10-K and January 1, 2028 for the Company’s quarterly financial statements on Form 10-Q. The Company is currently evaluating the impact of this standard on its financial statement presentation and disclosures, but it is not expected to have a significant impact on the Company’s financial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September 2025, the FASB issued Accounting Standards Update 2025-06, Intangibles - Goodwill and Other - Internal-Use Software (Subtopic 350-40), Targeted Improvements to the Accounting for Internal-Use Software" ("ASU 2025-06"). ASU 2025-06 clarifies and modernizes the accounting for costs related to internal-use software. The amendments in ASU 2025-06 remove all references to project stages throughout Subtopic 350-40 and clarify the threshold entities apply to begin capitalizing costs. ASU 2025-06 is effective for the Company for fiscal years beginning after December 15, 2027 and interim periods within those fiscal years. The Company is currently evaluating the impact of adoption of ASU 2025-06 on its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do not believe that any other recently issued but not yet effective accounting standards, if currently adopted, would have a material effect on our financial statements.</w:t>
      </w:r>
    </w:p>
    <w:p>
      <w:pPr>
        <w:pStyle w:val="TextBody"/>
        <w:bidi w:val="0"/>
        <w:spacing w:before="240" w:after="200"/>
        <w:jc w:val="both"/>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jc w:val="left"/>
        <w:rPr>
          <w:rFonts w:ascii="Times New Roman" w:hAnsi="Times New Roman"/>
          <w:color w:val="000000"/>
          <w:sz w:val="20"/>
        </w:rPr>
      </w:pPr>
      <w:r>
        <w:rPr>
          <w:rFonts w:ascii="Times New Roman" w:hAnsi="Times New Roman"/>
          <w:color w:val="000000"/>
          <w:sz w:val="20"/>
        </w:rPr>
        <w:t xml:space="preserve">In July 2025, the FASB issued Accounting Standards Update 2025-05, “Financial Instruments - Credit Losses (Topic 326), Measurement of Credit Losses for Accounts Receivable and Contract Assets" ("ASU 2025-05"). ASU 2025-05 provides the option to elect a practical expedient to assume that the current conditions as of the balance sheet date will remain unchanged for the remaining life of the asset when developing a reasonable and supportable forecast as part of estimating expected credit losses on these assets. </w:t>
      </w:r>
    </w:p>
    <w:p>
      <w:pPr>
        <w:pStyle w:val="TextBody"/>
        <w:pBdr>
          <w:top w:val="single" w:sz="6" w:space="1" w:color="000000"/>
        </w:pBdr>
        <w:bidi w:val="0"/>
        <w:jc w:val="center"/>
        <w:rPr>
          <w:rFonts w:ascii="Times New Roman" w:hAnsi="Times New Roman"/>
          <w:sz w:val="20"/>
        </w:rPr>
      </w:pPr>
      <w:r>
        <w:rPr>
          <w:rFonts w:ascii="Arial" w:hAnsi="Arial"/>
          <w:color w:val="000000"/>
          <w:sz w:val="16"/>
        </w:rPr>
        <w:t>- 14</w:t>
      </w:r>
      <w:r>
        <w:rPr>
          <w:rFonts w:ascii="Times New Roman" w:hAnsi="Times New Roman"/>
          <w:color w:val="000000"/>
          <w:sz w:val="20"/>
        </w:rPr>
        <w:t xml:space="preserve"> </w:t>
      </w:r>
      <w:r>
        <w:rPr>
          <w:rFonts w:ascii="Arial" w:hAnsi="Arial"/>
          <w:color w:val="000000"/>
          <w:sz w:val="16"/>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ASU 2025-05 is effective for the Company for fiscal years beginning after December 15, 2025 and interim periods within those fiscal years. The Company adopted ASU 2025-05 effective January 1, 2026. The adoption did not have a material impact on the Company's condensed financial statements.</w:t>
      </w:r>
    </w:p>
    <w:p>
      <w:pPr>
        <w:pStyle w:val="TextBody"/>
        <w:bidi w:val="0"/>
        <w:spacing w:before="120" w:after="283"/>
        <w:jc w:val="both"/>
        <w:rPr/>
      </w:pPr>
      <w:r>
        <w:rPr/>
        <w:t> </w:t>
      </w:r>
    </w:p>
    <w:p>
      <w:pPr>
        <w:pStyle w:val="TextBody"/>
        <w:bidi w:val="0"/>
        <w:spacing w:before="120" w:after="283"/>
        <w:jc w:val="both"/>
        <w:rPr>
          <w:rFonts w:ascii="Times New Roman" w:hAnsi="Times New Roman"/>
          <w:b/>
          <w:color w:val="231F20"/>
          <w:sz w:val="20"/>
        </w:rPr>
      </w:pPr>
      <w:r>
        <w:rPr>
          <w:rFonts w:ascii="Times New Roman" w:hAnsi="Times New Roman"/>
          <w:b/>
          <w:color w:val="231F20"/>
          <w:sz w:val="20"/>
        </w:rPr>
        <w:t>3. REVENUE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Disaggregation of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disaggregate revenue by service type and by platform as follows:</w:t>
      </w:r>
    </w:p>
    <w:p>
      <w:pPr>
        <w:pStyle w:val="TextBody"/>
        <w:bidi w:val="0"/>
        <w:jc w:val="left"/>
        <w:rPr/>
      </w:pPr>
      <w:r>
        <w:rPr/>
        <w:t> </w:t>
      </w:r>
    </w:p>
    <w:tbl>
      <w:tblPr>
        <w:tblW w:w="8967" w:type="dxa"/>
        <w:jc w:val="left"/>
        <w:tblInd w:w="0" w:type="dxa"/>
        <w:tblLayout w:type="fixed"/>
        <w:tblCellMar>
          <w:top w:w="28" w:type="dxa"/>
          <w:left w:w="28" w:type="dxa"/>
          <w:bottom w:w="28" w:type="dxa"/>
          <w:right w:w="28" w:type="dxa"/>
        </w:tblCellMar>
      </w:tblPr>
      <w:tblGrid>
        <w:gridCol w:w="2896"/>
        <w:gridCol w:w="146"/>
        <w:gridCol w:w="211"/>
        <w:gridCol w:w="931"/>
        <w:gridCol w:w="166"/>
        <w:gridCol w:w="146"/>
        <w:gridCol w:w="211"/>
        <w:gridCol w:w="931"/>
        <w:gridCol w:w="166"/>
        <w:gridCol w:w="146"/>
        <w:gridCol w:w="211"/>
        <w:gridCol w:w="1036"/>
        <w:gridCol w:w="166"/>
        <w:gridCol w:w="146"/>
        <w:gridCol w:w="211"/>
        <w:gridCol w:w="1036"/>
        <w:gridCol w:w="21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 stream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Banking and payments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5,293,820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7,921,556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10,225,033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14,843,181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Custody and trading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772,379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393,455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Sales returns and allowances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6,089,909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8,175,926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11,682,218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15,263,763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above amounts are net of reductions in revenue related to Revenue Rewards totaling $0.4 million and $0.5 million for the three months ended June 30, 2026 and 2025, respectively, and $0.7 million and $1.0 million for the six months ended June 30, 2026 and 2025, respectively.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Deferred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Contract liabilities are classified as deferred revenue in our balance sheets. As of June 30, 2026 and December 31, 2025, the contract liability related to our deferred subscription revenues was $0.2 million and $0.3 million, respectively, and the contract liability related to an unearned portion of a bonus paid to us by Visa was $0.1 million and $0.1 million,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activity in deferred revenue for the six months ended June 30, 2026 and the year ended December 31, 2025, was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668"/>
        <w:gridCol w:w="146"/>
        <w:gridCol w:w="300"/>
        <w:gridCol w:w="1197"/>
        <w:gridCol w:w="166"/>
        <w:gridCol w:w="146"/>
        <w:gridCol w:w="474"/>
        <w:gridCol w:w="1895"/>
        <w:gridCol w:w="213"/>
      </w:tblGrid>
      <w:tr>
        <w:trPr/>
        <w:tc>
          <w:tcPr>
            <w:tcW w:w="56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6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 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 2025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of the period contract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366,252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875,466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recognized from the contract liabilities included in the beginning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(244,332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(771,669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Increases due to cash received net of amounts recognized in revenue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262,455</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 of period contract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366,252</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Contract costs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For the six months ended June 30, 2026 and 2025, we did not incur any incremental costs to obtain and/or fulfill contracts with customers.</w:t>
      </w:r>
    </w:p>
    <w:p>
      <w:pPr>
        <w:pStyle w:val="TextBody"/>
        <w:bidi w:val="0"/>
        <w:spacing w:before="360" w:after="283"/>
        <w:jc w:val="both"/>
        <w:rPr>
          <w:rFonts w:ascii="Times New Roman" w:hAnsi="Times New Roman"/>
          <w:sz w:val="20"/>
        </w:rPr>
      </w:pPr>
      <w:r>
        <w:rPr>
          <w:rFonts w:ascii="Times New Roman" w:hAnsi="Times New Roman"/>
          <w:b/>
          <w:color w:val="000000"/>
          <w:sz w:val="20"/>
        </w:rPr>
        <w:t>4. DIGITAL ASSETS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holds digital assets, comprised solely of bitcoin, for two purposes: (1) to fulfill bitcoin rewards to customers in accordance with the terms and conditions of the Fold Rewards Program (“Rewards Treasury”); and (2) as a treasury asset to support our operating business with the option to hold as a near- to long-term investment to preserve potential upside in the value of that bitcoin (“Investment Treasury”). The Company purchases bitcoin for its Rewards Treasury to maintain a balance that is equal to or greater than its customer rewards liability and disburses bitcoin from its Rewards Treasury when customers redeem their rewards and the liability is satisfied.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is a summary of Fold’s bitcoin held in treasury as of the dates shown:</w:t>
      </w:r>
    </w:p>
    <w:p>
      <w:pPr>
        <w:pStyle w:val="TextBody"/>
        <w:bidi w:val="0"/>
        <w:jc w:val="both"/>
        <w:rPr/>
      </w:pPr>
      <w:r>
        <w:rPr/>
        <w:t> </w:t>
      </w:r>
    </w:p>
    <w:tbl>
      <w:tblPr>
        <w:tblW w:w="6045" w:type="dxa"/>
        <w:jc w:val="left"/>
        <w:tblInd w:w="0" w:type="dxa"/>
        <w:tblLayout w:type="fixed"/>
        <w:tblCellMar>
          <w:top w:w="28" w:type="dxa"/>
          <w:left w:w="28" w:type="dxa"/>
          <w:bottom w:w="28" w:type="dxa"/>
          <w:right w:w="28" w:type="dxa"/>
        </w:tblCellMar>
      </w:tblPr>
      <w:tblGrid>
        <w:gridCol w:w="2416"/>
        <w:gridCol w:w="146"/>
        <w:gridCol w:w="215"/>
        <w:gridCol w:w="1060"/>
        <w:gridCol w:w="146"/>
        <w:gridCol w:w="146"/>
        <w:gridCol w:w="269"/>
        <w:gridCol w:w="1456"/>
        <w:gridCol w:w="191"/>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Rewards treasury (USD)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4,504,290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6,872,869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treasury (USD)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11,356,023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133,658,791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bitcoin treasury (USD)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15,860,313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140,531,660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top w:val="single" w:sz="6" w:space="1" w:color="000000"/>
        </w:pBdr>
        <w:bidi w:val="0"/>
        <w:jc w:val="center"/>
        <w:rPr>
          <w:rFonts w:ascii="Times New Roman" w:hAnsi="Times New Roman"/>
          <w:sz w:val="20"/>
        </w:rPr>
      </w:pPr>
      <w:r>
        <w:rPr>
          <w:rFonts w:ascii="Arial" w:hAnsi="Arial"/>
          <w:color w:val="000000"/>
          <w:sz w:val="16"/>
        </w:rPr>
        <w:t>- 15</w:t>
      </w:r>
      <w:r>
        <w:rPr>
          <w:rFonts w:ascii="Times New Roman" w:hAnsi="Times New Roman"/>
          <w:color w:val="000000"/>
          <w:sz w:val="20"/>
        </w:rPr>
        <w:t xml:space="preserve"> </w:t>
      </w:r>
      <w:r>
        <w:rPr>
          <w:rFonts w:ascii="Arial" w:hAnsi="Arial"/>
          <w:color w:val="000000"/>
          <w:sz w:val="16"/>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pPr>
      <w:r>
        <w:rPr/>
        <w:t> </w:t>
      </w:r>
    </w:p>
    <w:tbl>
      <w:tblPr>
        <w:tblW w:w="6060" w:type="dxa"/>
        <w:jc w:val="left"/>
        <w:tblInd w:w="0" w:type="dxa"/>
        <w:tblLayout w:type="fixed"/>
        <w:tblCellMar>
          <w:top w:w="28" w:type="dxa"/>
          <w:left w:w="28" w:type="dxa"/>
          <w:bottom w:w="28" w:type="dxa"/>
          <w:right w:w="28" w:type="dxa"/>
        </w:tblCellMar>
      </w:tblPr>
      <w:tblGrid>
        <w:gridCol w:w="2431"/>
        <w:gridCol w:w="146"/>
        <w:gridCol w:w="328"/>
        <w:gridCol w:w="947"/>
        <w:gridCol w:w="146"/>
        <w:gridCol w:w="146"/>
        <w:gridCol w:w="350"/>
        <w:gridCol w:w="1375"/>
        <w:gridCol w:w="191"/>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Rewards treasury (BTC)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treasury (BTC)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bitcoin treasury (BTC)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and December 31, 2025, the Company held 271 and 1,606 bitcoin, respectively, with an aggregate cost of $25.7 million and $118.8 million, respectively. During June 2026, the Company sold 632 bitcoin from its Investment Treasury for proceeds of $44.7 million, of which $20.0 million was used to repay in full the outstanding balance under the Company's Credit Facility (as defined below) and the remaining $24.7 million was retained as unrestricted cash for general corporate purposes. As of June 30, 2026, no amounts remained outstanding under the Credit Facility and no bitcoin was held as collateral. Refer to Note 9 for further details.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reconciliation, in the aggregate, of beginning and ending balances of the Company’s digital assets as of the dates shown is as follows:</w:t>
      </w:r>
    </w:p>
    <w:p>
      <w:pPr>
        <w:pStyle w:val="TextBody"/>
        <w:bidi w:val="0"/>
        <w:jc w:val="both"/>
        <w:rPr/>
      </w:pPr>
      <w:r>
        <w:rPr/>
        <w:t> </w:t>
      </w:r>
    </w:p>
    <w:tbl>
      <w:tblPr>
        <w:tblW w:w="10164" w:type="dxa"/>
        <w:jc w:val="left"/>
        <w:tblInd w:w="0" w:type="dxa"/>
        <w:tblLayout w:type="fixed"/>
        <w:tblCellMar>
          <w:top w:w="28" w:type="dxa"/>
          <w:left w:w="28" w:type="dxa"/>
          <w:bottom w:w="28" w:type="dxa"/>
          <w:right w:w="28" w:type="dxa"/>
        </w:tblCellMar>
      </w:tblPr>
      <w:tblGrid>
        <w:gridCol w:w="4276"/>
        <w:gridCol w:w="146"/>
        <w:gridCol w:w="295"/>
        <w:gridCol w:w="1385"/>
        <w:gridCol w:w="166"/>
        <w:gridCol w:w="146"/>
        <w:gridCol w:w="292"/>
        <w:gridCol w:w="1583"/>
        <w:gridCol w:w="166"/>
        <w:gridCol w:w="146"/>
        <w:gridCol w:w="211"/>
        <w:gridCol w:w="1141"/>
        <w:gridCol w:w="211"/>
      </w:tblGrid>
      <w:tr>
        <w:trPr/>
        <w:tc>
          <w:tcPr>
            <w:tcW w:w="4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Rewards Treasury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Investment Treasury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Digital Assets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Bitcoin held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8,569,651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93,568,700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102,138,351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bitcoin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1,011,941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1,362,089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2,374,030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Bitcoin received from March 2025 Investor Note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43,965,525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43,965,525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Disbursements of bitcoin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(1,536,385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(1,536,385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Remeasurement gain (loss) on bitcoin </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1,324,091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20,965,072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22,289,163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Bitcoin held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9,369,298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159,861,386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169,230,684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bitcoin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1,640,528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4,000,711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5,641,239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Disbursements of bitcoin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(2,418,595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(2,418,595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Remeasurement gain (loss) on bitcoin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(1,718,362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(30,203,306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(31,921,668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Bitcoin held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6,872,869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133,658,791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140,531,660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bitcoin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1,748,759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1,748,759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Bitcoin repayment for March 2025 Investor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(34,007,466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(34,007,466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Sale of bitcoin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(59,120,684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(59,120,684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Disbursements of bitcoin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(1,958,815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(1,958,815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 of bitcoin from investment treasury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650,320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(650,320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Remeasurement gain (loss) on bitcoin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(2,808,843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(28,524,298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(31,333,141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Bitcoin held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4,504,290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11,356,023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15,860,313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120"/>
        <w:jc w:val="both"/>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Disbursements of bitcoin represent amounts that were distributed to customers to fulfill customer rewards obligations or to satisfy other current obligations.</w:t>
      </w:r>
    </w:p>
    <w:p>
      <w:pPr>
        <w:pStyle w:val="TextBody"/>
        <w:bidi w:val="0"/>
        <w:spacing w:before="0" w:after="120"/>
        <w:jc w:val="both"/>
        <w:rPr>
          <w:rFonts w:ascii="Times New Roman" w:hAnsi="Times New Roman"/>
          <w:sz w:val="20"/>
        </w:rPr>
      </w:pPr>
      <w:r>
        <w:rPr>
          <w:rFonts w:ascii="Times New Roman" w:hAnsi="Times New Roman"/>
          <w:color w:val="000000"/>
          <w:sz w:val="13"/>
        </w:rPr>
        <w:t>(2)</w:t>
      </w:r>
      <w:r>
        <w:rPr>
          <w:rFonts w:ascii="Times New Roman" w:hAnsi="Times New Roman"/>
          <w:color w:val="000000"/>
          <w:sz w:val="20"/>
        </w:rPr>
        <w:t xml:space="preserve"> The bitcoin received from the March 2025 Investor Note is net of prepaid interest. Refer to Note 9 for additional details.</w:t>
      </w:r>
    </w:p>
    <w:p>
      <w:pPr>
        <w:pStyle w:val="TextBody"/>
        <w:bidi w:val="0"/>
        <w:jc w:val="both"/>
        <w:rPr>
          <w:rFonts w:ascii="Times New Roman" w:hAnsi="Times New Roman"/>
          <w:sz w:val="20"/>
        </w:rPr>
      </w:pPr>
      <w:r>
        <w:rPr>
          <w:rFonts w:ascii="Times New Roman" w:hAnsi="Times New Roman"/>
          <w:color w:val="000000"/>
          <w:sz w:val="13"/>
        </w:rPr>
        <w:t>(3)</w:t>
      </w:r>
      <w:r>
        <w:rPr>
          <w:rFonts w:ascii="Times New Roman" w:hAnsi="Times New Roman"/>
          <w:color w:val="000000"/>
          <w:sz w:val="20"/>
        </w:rPr>
        <w:t xml:space="preserve"> Proceeds from the sale of bitcoin during the six months ended June 30, 2026 were used to pay off the June 2025 Amended Investor Note, repay in full the outstanding balance under the Company's Credit Facility (as defined below), and fund unrestricted cash for general corporate purposes. Refer to Note 9 for additional details.</w:t>
      </w:r>
    </w:p>
    <w:p>
      <w:pPr>
        <w:pStyle w:val="TextBody"/>
        <w:bidi w:val="0"/>
        <w:spacing w:before="240" w:after="283"/>
        <w:jc w:val="both"/>
        <w:rPr>
          <w:rFonts w:ascii="Times New Roman" w:hAnsi="Times New Roman"/>
          <w:sz w:val="20"/>
        </w:rPr>
      </w:pPr>
      <w:r>
        <w:rPr>
          <w:rFonts w:ascii="Times New Roman" w:hAnsi="Times New Roman"/>
          <w:color w:val="000000"/>
          <w:sz w:val="13"/>
        </w:rPr>
        <w:t>(4)</w:t>
      </w:r>
      <w:r>
        <w:rPr>
          <w:rFonts w:ascii="Times New Roman" w:hAnsi="Times New Roman"/>
          <w:color w:val="000000"/>
          <w:sz w:val="20"/>
        </w:rPr>
        <w:t xml:space="preserve"> The remeasurement loss of $1.0 million recognized on the digital assets balances for the three months ended June 30, 2026 consisted of a realized loss of $4.4 million and an unrealized gain of $3.4 million. The remeasurement gain of $38.9 million recognized on the digital assets balance for the three months ended June 30, 2025 consisted of a realized gain of $0.6 million and an unrealized gain of $38.3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remeasurement loss of $31.3 million recognized on the digital assets balances for the six months ended June 30, 2026 consisted of a realized gain of $0.2 million and an unrealized loss of $31.5 million. The remeasurement gain of $22.3 million recognized on the digital assets balance for the six months ended June 30, 2025 consisted of a realized gain of $1.1 million and an unrealized gain of $21.2 million.</w:t>
      </w:r>
    </w:p>
    <w:p>
      <w:pPr>
        <w:pStyle w:val="TextBody"/>
        <w:bidi w:val="0"/>
        <w:jc w:val="left"/>
        <w:rPr/>
      </w:pPr>
      <w:r>
        <w:rPr/>
        <w:t> </w:t>
      </w:r>
    </w:p>
    <w:p>
      <w:pPr>
        <w:pStyle w:val="TextBody"/>
        <w:pBdr>
          <w:top w:val="single" w:sz="6" w:space="1" w:color="000000"/>
        </w:pBdr>
        <w:bidi w:val="0"/>
        <w:jc w:val="center"/>
        <w:rPr>
          <w:rFonts w:ascii="Times New Roman" w:hAnsi="Times New Roman"/>
          <w:sz w:val="20"/>
        </w:rPr>
      </w:pPr>
      <w:r>
        <w:rPr>
          <w:rFonts w:ascii="Arial" w:hAnsi="Arial"/>
          <w:color w:val="000000"/>
          <w:sz w:val="16"/>
        </w:rPr>
        <w:t>- 16</w:t>
      </w:r>
      <w:r>
        <w:rPr>
          <w:rFonts w:ascii="Times New Roman" w:hAnsi="Times New Roman"/>
          <w:color w:val="000000"/>
          <w:sz w:val="20"/>
        </w:rPr>
        <w:t xml:space="preserve"> </w:t>
      </w:r>
      <w:r>
        <w:rPr>
          <w:rFonts w:ascii="Arial" w:hAnsi="Arial"/>
          <w:color w:val="000000"/>
          <w:sz w:val="16"/>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5. PREPAID EXPENSES AND OTHER CURRENT ASSETS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Prepaid expenses and other current assets consisted of the following:</w:t>
      </w:r>
    </w:p>
    <w:p>
      <w:pPr>
        <w:pStyle w:val="TextBody"/>
        <w:bidi w:val="0"/>
        <w:jc w:val="both"/>
        <w:rPr/>
      </w:pPr>
      <w:r>
        <w:rPr/>
        <w:t> </w:t>
      </w:r>
    </w:p>
    <w:tbl>
      <w:tblPr>
        <w:tblW w:w="5235" w:type="dxa"/>
        <w:jc w:val="left"/>
        <w:tblInd w:w="0" w:type="dxa"/>
        <w:tblLayout w:type="fixed"/>
        <w:tblCellMar>
          <w:top w:w="28" w:type="dxa"/>
          <w:left w:w="28" w:type="dxa"/>
          <w:bottom w:w="28" w:type="dxa"/>
          <w:right w:w="28" w:type="dxa"/>
        </w:tblCellMar>
      </w:tblPr>
      <w:tblGrid>
        <w:gridCol w:w="1606"/>
        <w:gridCol w:w="146"/>
        <w:gridCol w:w="235"/>
        <w:gridCol w:w="1040"/>
        <w:gridCol w:w="146"/>
        <w:gridCol w:w="146"/>
        <w:gridCol w:w="318"/>
        <w:gridCol w:w="1407"/>
        <w:gridCol w:w="191"/>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542,065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1,680,529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1,636,223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1,913,981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2,384,684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6. CUSTOMER REWARDS LIABILITY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reconciliation, in the aggregate, of beginning and ending balances of the Company’s customer rewards liability as of the dates shown is as follows:</w:t>
      </w:r>
    </w:p>
    <w:tbl>
      <w:tblPr>
        <w:tblW w:w="7558" w:type="dxa"/>
        <w:jc w:val="left"/>
        <w:tblInd w:w="0" w:type="dxa"/>
        <w:tblLayout w:type="fixed"/>
        <w:tblCellMar>
          <w:top w:w="28" w:type="dxa"/>
          <w:left w:w="28" w:type="dxa"/>
          <w:bottom w:w="28" w:type="dxa"/>
          <w:right w:w="28" w:type="dxa"/>
        </w:tblCellMar>
      </w:tblPr>
      <w:tblGrid>
        <w:gridCol w:w="4696"/>
        <w:gridCol w:w="146"/>
        <w:gridCol w:w="439"/>
        <w:gridCol w:w="2066"/>
        <w:gridCol w:w="211"/>
      </w:tblGrid>
      <w:tr>
        <w:trPr/>
        <w:tc>
          <w:tcPr>
            <w:tcW w:w="4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Customer Rewards Liability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8,569,651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Rewards earned by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1,464,921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Reward fulfillments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(1,489,430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Expired rewards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Remeasurement (gain) loss on customer rewards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970,648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9,369,298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Rewards earned by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1,185,157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Reward fulfillments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(1,793,929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Expired rewards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Remeasurement (gain) loss on customer rewards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(1,769,141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6,872,869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Rewards earned by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837,253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Reward fulfillments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(869,038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Expired rewards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Remeasurement (gain) loss on customer rewards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(2,253,069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4,504,290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Rewards fulfillments represent amounts that were distributed to customers to fulfill customer rewards obligations.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7. RELATED PARTIES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six months ended June 30, 2026, the Company entered into a Purchase Agreement (the "Purchase Agreement") with SATS Credit Fund LP ("SATS"), pursuant to which SATS purchased a senior unsecured promissory note in the principal amount of $13.0 million (the "February 2026 Investor Note"), and the Company issued 520,000 shares of the Company's Common Stock as additional consideration (the "Initial Commitment Shares"). Concurrently, the Company repaid the outstanding March 2025 Investor Note by transferring 500 bitcoin to SATS. Refer to Note 9 for further details. As SATS is a private investment fund raised and managed by Ten31, LLC, an affiliate of Dr. Jonathan Kirkwood, a member of Fold's Board of Directors, these actions constituted related party transactions and were approved by our Audit Committee. </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8. SAFEs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February 14, 2025, in connection with the Closing of the Merger, all SAFE notes held by Fold Predecessor converted into 16.6 million shares of Fold Holdings, Inc. Common Stock. The fair value of the SAFEs on the date of conversion was $177.6 million. Prior to conversion, Fold Predecessor’s SAFEs were recorded as a liability in the accompanying balance sheets and the Company recorded subsequent remeasurements in “Changes in fair value of SAFEs” in the statements of operations. However, because Fold’s SAFEs were structured to be settled via the delivery of common and/or preferred shares upon execution of an equity financing or liquidity event, these amounts were reclassified to equity upon conversion. </w:t>
      </w:r>
    </w:p>
    <w:p>
      <w:pPr>
        <w:pStyle w:val="TextBody"/>
        <w:pBdr>
          <w:top w:val="single" w:sz="6" w:space="1" w:color="000000"/>
        </w:pBdr>
        <w:bidi w:val="0"/>
        <w:jc w:val="center"/>
        <w:rPr>
          <w:rFonts w:ascii="Times New Roman" w:hAnsi="Times New Roman"/>
          <w:sz w:val="20"/>
        </w:rPr>
      </w:pPr>
      <w:r>
        <w:rPr>
          <w:rFonts w:ascii="Arial" w:hAnsi="Arial"/>
          <w:color w:val="000000"/>
          <w:sz w:val="16"/>
        </w:rPr>
        <w:t>- 17</w:t>
      </w:r>
      <w:r>
        <w:rPr>
          <w:rFonts w:ascii="Times New Roman" w:hAnsi="Times New Roman"/>
          <w:color w:val="000000"/>
          <w:sz w:val="20"/>
        </w:rPr>
        <w:t xml:space="preserve"> </w:t>
      </w:r>
      <w:r>
        <w:rPr>
          <w:rFonts w:ascii="Arial" w:hAnsi="Arial"/>
          <w:color w:val="000000"/>
          <w:sz w:val="16"/>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During the three and six months ended June 30, 2025, the Company recognized an increase in the SAFE liability of $0 million and $6.5 million, respectively, related to fair value remeasurements prior to conversion. As of June 30, 2026 and December 31, 2025, no SAFEs remained outstanding.</w:t>
      </w:r>
    </w:p>
    <w:p>
      <w:pPr>
        <w:pStyle w:val="TextBody"/>
        <w:bidi w:val="0"/>
        <w:jc w:val="both"/>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9. DEBT AND FINANCING ARRANGEMENTS</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Convertible notes and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summary of the Company’s convertible notes for the respective periods presented is as follows:</w:t>
      </w:r>
    </w:p>
    <w:p>
      <w:pPr>
        <w:pStyle w:val="TextBody"/>
        <w:bidi w:val="0"/>
        <w:spacing w:before="240" w:after="240"/>
        <w:jc w:val="both"/>
        <w:rPr>
          <w:rFonts w:ascii="Times New Roman" w:hAnsi="Times New Roman"/>
          <w:b/>
          <w:color w:val="000000"/>
          <w:sz w:val="20"/>
        </w:rPr>
      </w:pPr>
      <w:r>
        <w:rPr>
          <w:rFonts w:ascii="Times New Roman" w:hAnsi="Times New Roman"/>
          <w:b/>
          <w:color w:val="000000"/>
          <w:sz w:val="20"/>
        </w:rPr>
        <w:t>The June 2025 Amended Investor Note</w:t>
      </w:r>
    </w:p>
    <w:tbl>
      <w:tblPr>
        <w:tblW w:w="8855" w:type="dxa"/>
        <w:jc w:val="left"/>
        <w:tblInd w:w="0" w:type="dxa"/>
        <w:tblLayout w:type="fixed"/>
        <w:tblCellMar>
          <w:top w:w="28" w:type="dxa"/>
          <w:left w:w="28" w:type="dxa"/>
          <w:bottom w:w="28" w:type="dxa"/>
          <w:right w:w="28" w:type="dxa"/>
        </w:tblCellMar>
      </w:tblPr>
      <w:tblGrid>
        <w:gridCol w:w="5026"/>
        <w:gridCol w:w="146"/>
        <w:gridCol w:w="711"/>
        <w:gridCol w:w="564"/>
        <w:gridCol w:w="146"/>
        <w:gridCol w:w="146"/>
        <w:gridCol w:w="292"/>
        <w:gridCol w:w="1433"/>
        <w:gridCol w:w="391"/>
      </w:tblGrid>
      <w:tr>
        <w:trPr/>
        <w:tc>
          <w:tcPr>
            <w:tcW w:w="5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2025 Amended Investor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20,000,000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Convertible debt,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20,000,000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Debt issuance costs, net of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90,260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Amended debt premium, net of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1,559,935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Convertible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21,469,675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Amended December 2024 convertible note, net -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21,469,675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December 2024, Fold Predecessor entered into a Securities Purchase Agreement (the “December 2024 SPA”) with an institutional investor for the sale of a Senior Secured Convertible Note (the "December 2024 Initial Investor Note"). On June 16, 2025, the Company amended the December 2024 SPA, which was accounted for as an extinguishment of the December 2024 Initial Investor Note and issuance of a new debt instrument (the "June 2025 Amended Investor Note") with a principal amount of $20.0 million, a conversion price of $9.00 per share, and a stated interest rate of 12% per annum. In connection with the June 2025 extinguishment, the Company recognized a loss on extinguishment of debt of $9.6 million during the year ended December 31, 2025. The Series A and Series C warrants remain outstanding and are classified within stockholders' equity. Refer to Note 10 for further information.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June 2025 Amended Investor Note was scheduled to mature on February 14, 2028 and was classified within non-current liabilities as of December 31, 2025. The Company elected not to remeasure the note at fair value subsequent to issuance and accounted for it at amortized cost using the effective interest method.</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On February 27, 2026, the Company repaid the June 2025 Amended Investor Note with a cash payment of $27.5 million, comprised of $20.0 million of outstanding principal and $7.5 million of special interest due as a result of early repayment. The total cash payment of $27.5 million was funded with $14.4 million in proceeds from the sale of 200 bitcoin and $13.0 million in proceeds from the February 2026 Investor Note.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accounted for the repayment as an extinguishment of debt in accordance with ASC 470. In connection with the extinguishment, the Company recognized additional interest expense of $1.7 million, bringing total special interest expense to $2.4 million, which represents the minimum special interest that would have been due at maturity. The remaining $5.1 million of special interest, representing the economic premium attributable to early repayment, was recorded as a loss on extinguishment together with the write-off of $1.3 million of unamortized premium and unamortized debt issuance costs, resulting in a total loss on extinguishment of $3.8 million.</w:t>
      </w:r>
    </w:p>
    <w:p>
      <w:pPr>
        <w:pStyle w:val="TextBody"/>
        <w:bidi w:val="0"/>
        <w:jc w:val="both"/>
        <w:rPr>
          <w:rFonts w:ascii="Times New Roman" w:hAnsi="Times New Roman"/>
          <w:color w:val="000000"/>
          <w:sz w:val="20"/>
        </w:rPr>
      </w:pPr>
      <w:r>
        <w:rPr>
          <w:rFonts w:ascii="Times New Roman" w:hAnsi="Times New Roman"/>
          <w:color w:val="000000"/>
          <w:sz w:val="20"/>
        </w:rPr>
        <w:t xml:space="preserve">Total interest expense recognized related to the June 2025 Amended Investor Note for the three months ended and six months ended June 30, 2026, prior to extinguishment, was nominal. Total interest expense recognized related to the December 2024 Initial Investor Note and June 2025 Amended Investor Note for the three months ended June 30, 2025 was $0.6 million, comprised of contractual interest expense of $0.6 million and $0 million of amortization of the debt premium and debt issuance costs. Total interest expense recognized related to the December 2024 Initial Investor Note and June 2025 Amended Investor Note for the six months ended June 30, 2025 was $1.3 million, comprised of contractual interest expense of $1.3 million and $0 million of amortization of the debt premium and debt issuance costs.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The March 2025 Investor Note</w:t>
      </w:r>
    </w:p>
    <w:p>
      <w:pPr>
        <w:pStyle w:val="TextBody"/>
        <w:bidi w:val="0"/>
        <w:jc w:val="left"/>
        <w:rPr/>
      </w:pPr>
      <w:r>
        <w:rPr/>
        <w:t> </w:t>
      </w:r>
    </w:p>
    <w:tbl>
      <w:tblPr>
        <w:tblW w:w="7185" w:type="dxa"/>
        <w:jc w:val="left"/>
        <w:tblInd w:w="0" w:type="dxa"/>
        <w:tblLayout w:type="fixed"/>
        <w:tblCellMar>
          <w:top w:w="28" w:type="dxa"/>
          <w:left w:w="28" w:type="dxa"/>
          <w:bottom w:w="28" w:type="dxa"/>
          <w:right w:w="28" w:type="dxa"/>
        </w:tblCellMar>
      </w:tblPr>
      <w:tblGrid>
        <w:gridCol w:w="3556"/>
        <w:gridCol w:w="146"/>
        <w:gridCol w:w="711"/>
        <w:gridCol w:w="564"/>
        <w:gridCol w:w="146"/>
        <w:gridCol w:w="146"/>
        <w:gridCol w:w="292"/>
        <w:gridCol w:w="1433"/>
        <w:gridCol w:w="191"/>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2025 Investor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46,279,500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928,056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March 2025 investor note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47,207,556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top w:val="single" w:sz="6" w:space="1" w:color="000000"/>
        </w:pBdr>
        <w:bidi w:val="0"/>
        <w:jc w:val="center"/>
        <w:rPr>
          <w:rFonts w:ascii="Times New Roman" w:hAnsi="Times New Roman"/>
          <w:sz w:val="20"/>
        </w:rPr>
      </w:pPr>
      <w:r>
        <w:rPr>
          <w:rFonts w:ascii="Arial" w:hAnsi="Arial"/>
          <w:color w:val="000000"/>
          <w:sz w:val="16"/>
        </w:rPr>
        <w:t>- 18</w:t>
      </w:r>
      <w:r>
        <w:rPr>
          <w:rFonts w:ascii="Times New Roman" w:hAnsi="Times New Roman"/>
          <w:color w:val="000000"/>
          <w:sz w:val="20"/>
        </w:rPr>
        <w:t xml:space="preserve"> </w:t>
      </w:r>
      <w:r>
        <w:rPr>
          <w:rFonts w:ascii="Arial" w:hAnsi="Arial"/>
          <w:color w:val="000000"/>
          <w:sz w:val="16"/>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March 6, 2025, Fold entered into a Securities Purchase Agreement (the “March 2025 SPA”) with a related party investor, SATS, pursuant to which Fold issued to the investor (i) a Convertible Note in an aggregate principal amount of $46.3 million (the "March 2025 Investor Note"), (ii) warrants exercisable for 925,590 shares of Common Stock with an exercise price of $15.00 per share (the “March 2025 Warrants”), and (iii) an aggregate of 750,000 shares of Common Stock (the “Closing Shares”). The March 2025 Investor Note was funded with 475 bitcoin, net of 25 bitcoin paid to the investor as prepayment for the first year of interest, with 500 bitcoin held as collateral to secure the note.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elected to account for the March 2025 Investor Note using the fair value option. As of the date of issuance, the fair value of the March 2025 Investor Note was $59.0 million which exceeded the proceeds received of $46.3 million. The $12.7 million excess of the fair value over the net proceeds received was recorded as a loss within the condensed statements of operations for the six months ended June 30, 2025. The Company separately valued the March 2025 Warrants and Closing Shares at $3.8 million and $5.8 million, respectively, and expensed the full $9.6 million immediately as issuance costs given the related party nature of the instrument. The March 2025 Warrants were determined to meet the requirements for equity classification under ASC 815-40.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February 26, 2026, the Company repaid and extinguished the March 2025 Investor Note by transferring the 500 bitcoin held as collateral against this note to the investor. Prior to extinguishment, the Company remeasured the note to fair value, recognizing a gain of $13.2 million during the six months ended June 30, 2026, which brought the carrying value to approximately $34.0 million, approximating the fair value of the bitcoin transferred. During the three months ended and six months ended June 30, 2025, the Company recorded a $5.3 million loss and $0.9 million gain due to changes in fair value of the March 2025 Investor Note. The Company accounted for the repayment as an extinguishment of debt in accordance with ASC 470. As the fair value of the note approximated the value of the consideration transferred, no gain or loss on extinguishment was recognized. The Company recognized a $0.2 million loss on extinguishment related to unamortized prepaid interest remaining as of the extinguishment 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Total interest expense recognized related to the March 2025 Investor Note for the six months ended June 30, 2026 was $0.3 million. Total interest expense recognized related to the March 2025 Investor Note for the three and six months ended June 30, 2025 was $0.5 million and $0.7 million, respectively. The March 2025 Investor Note accrued interest at 7.0% per annum, payable quarterly in shares of Common Stock valued at $12.50 per share.</w:t>
      </w:r>
    </w:p>
    <w:p>
      <w:pPr>
        <w:pStyle w:val="TextBody"/>
        <w:bidi w:val="0"/>
        <w:spacing w:before="240" w:after="120"/>
        <w:jc w:val="both"/>
        <w:rPr>
          <w:rFonts w:ascii="Times New Roman" w:hAnsi="Times New Roman"/>
          <w:b/>
          <w:i/>
          <w:color w:val="000000"/>
          <w:sz w:val="20"/>
        </w:rPr>
      </w:pPr>
      <w:r>
        <w:rPr>
          <w:rFonts w:ascii="Times New Roman" w:hAnsi="Times New Roman"/>
          <w:b/>
          <w:i/>
          <w:color w:val="000000"/>
          <w:sz w:val="20"/>
        </w:rPr>
        <w:t>Two Prime Credit Facility</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On October 1, 2025, the Company entered into the Credit Facility, as subsequently amended in November 2025. The Credit Facility permits the Company to request, and Two Prime to make available at its discretion, USD-denominated loans up to an aggregate commitment amount of $45.0 million, subject to the execution of individual loan term sheets. Loans issued under the Credit Facility are secured by bitcoin posted by the Company as collateral and held in segregated cold storage with a qualified digital asset custodian. The Company is required to maintain aggregate collateral levels within specified thresholds, and failure to do so may result in margin calls or liquidation of collateral.</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Under the Amendment, each loan bears interest at a rate of 8.5%, is repayable in USD, and matures on September 30, 2026 with a prepayment option. This loan may be renewed with substantially similar terms upon mutual agreement between the parties prior to the maturity date. The Credit Facility contains customary representations, covenants, collateral requirements, tax and indemnification provisions, and events of default.</w:t>
      </w:r>
    </w:p>
    <w:p>
      <w:pPr>
        <w:pStyle w:val="TextBody"/>
        <w:bidi w:val="0"/>
        <w:jc w:val="both"/>
        <w:rPr>
          <w:rFonts w:ascii="Times New Roman" w:hAnsi="Times New Roman"/>
          <w:color w:val="000000"/>
          <w:sz w:val="20"/>
        </w:rPr>
      </w:pPr>
      <w:r>
        <w:rPr>
          <w:rFonts w:ascii="Times New Roman" w:hAnsi="Times New Roman"/>
          <w:color w:val="000000"/>
          <w:sz w:val="20"/>
        </w:rPr>
        <w:t>During the six months ended June 30, 2026, the Company borrowed an additional $10.0 million under the Credit Facility pursuant to Loan Utilization Request #3 under the Amendment. On June 3, 2026, the Company repaid in full the $20.0 million of outstanding principal balance under the Master Loan Agreement with cash received from the sale of bitcoin. Of the 430 bitcoin previously pledged as collateral under the Credit Facility, 281 bitcoin were sold to repay in full the $20.0 million outstanding balance, and the remaining 149 bitcoin of excess collateral were returned to the Company's unrestricted Investment Treasury.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the outstanding principal balance under the Master Loan Agreement was $0 million, and no bitcoin is being held as collateral under this Credit Facility. As of December 31, 2025, the outstanding principal balance under the Master Loan Agreement was $10.0 million, secured by 200 bitcoin. The Company classified the outstanding balance as a current liability as of December 31, 2025. Total interest expense related to the Two Prime Credit Facility was $0.3 million and $0.5 million for the three and six months ended June 30, 2026, respectively. There was no comparable activity for the three or six months ended June 30, 2025. The Company was in compliance with all collateral maintenance requirements as of the date of extinguishment and December 31, 2025.</w:t>
      </w:r>
    </w:p>
    <w:p>
      <w:pPr>
        <w:pStyle w:val="TextBody"/>
        <w:bidi w:val="0"/>
        <w:spacing w:before="240" w:after="120"/>
        <w:jc w:val="both"/>
        <w:rPr>
          <w:rFonts w:ascii="Times New Roman" w:hAnsi="Times New Roman"/>
          <w:b/>
          <w:i/>
          <w:color w:val="000000"/>
          <w:sz w:val="20"/>
        </w:rPr>
      </w:pPr>
      <w:r>
        <w:rPr>
          <w:rFonts w:ascii="Times New Roman" w:hAnsi="Times New Roman"/>
          <w:b/>
          <w:i/>
          <w:color w:val="000000"/>
          <w:sz w:val="20"/>
        </w:rPr>
        <w:t>February 2026 Investor Note</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On February 25, 2026, the Company entered into a purchase agreement with SATS, a related party, and issued the February 2026 Investor Note, which has a principal amount of $13.0 million. The February 2026 Investor Note bears interest at 10% per annum, payable monthly, and matures on February 25, 2027. The maturity date may be extended for one additional year upon mutual consent, subject </w:t>
      </w:r>
    </w:p>
    <w:p>
      <w:pPr>
        <w:pStyle w:val="TextBody"/>
        <w:pBdr>
          <w:top w:val="single" w:sz="6" w:space="1" w:color="000000"/>
        </w:pBdr>
        <w:bidi w:val="0"/>
        <w:jc w:val="center"/>
        <w:rPr>
          <w:rFonts w:ascii="Times New Roman" w:hAnsi="Times New Roman"/>
          <w:sz w:val="20"/>
        </w:rPr>
      </w:pPr>
      <w:r>
        <w:rPr>
          <w:rFonts w:ascii="Arial" w:hAnsi="Arial"/>
          <w:color w:val="000000"/>
          <w:sz w:val="16"/>
        </w:rPr>
        <w:t>- 19</w:t>
      </w:r>
      <w:r>
        <w:rPr>
          <w:rFonts w:ascii="Times New Roman" w:hAnsi="Times New Roman"/>
          <w:color w:val="000000"/>
          <w:sz w:val="20"/>
        </w:rPr>
        <w:t xml:space="preserve"> </w:t>
      </w:r>
      <w:r>
        <w:rPr>
          <w:rFonts w:ascii="Arial" w:hAnsi="Arial"/>
          <w:color w:val="000000"/>
          <w:sz w:val="16"/>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to the issuance of 520,000 additional shares of Fold's Common Stock (the "Renewal Commitment Shares"). The note is voluntarily prepayable at any time without penalty.</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Company accounts for the February 2026 Investor Note at amortized cost using the effective interest method and it is classified as a current liability as of the balance sheet date.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In connection with the issuance of the February 2026 Investor Note, the Company issued 520,000 shares of its Common Stock (the “Initial Commitment Shares”). The Company determined the Initial Commitment Shares represent freestanding equity instruments. The fair value of the Initial Commitment Shares was $0.8 million on the issuance date. After allocating proceeds to the bifurcated derivative liability and the Initial Commitment Shares, the residual proceeds were allocated to the debt host in accordance with ASC 470. The Company has registered on a Form S-3 the Initial Commitment Shares and an additional 520,000 shares that could be issued to SATS upon renewal of the promissory note in accordance with the terms of a Registration Rights Agreement by and between the Company and SATS entered into on February 25, 2026.</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February 2026 Investor Note includes mandatory repayment triggers that require prepayment in increments of 25% to 100%, without penalty, upon the occurrence of specified bitcoin price thresholds between $37 thousand and $45 thousand, measured using volume-weighted average prices over specified time periods. The Company determined that these provisions represent an embedded derivative that is not clearly and closely related to the debt host and meets the definition of a derivative instrument under ASC 815. Accordingly, the Company bifurcated the embedded derivative and recorded it as a separate liability at fair value, with subsequent changes in fair value recognized in earnings. The fair value of the embedded derivative was a nominal amount as of June 30, 2026. Other embedded features, including change-of-control and term extension provisions, were determined not to require bifurcation. Refer to Note 14 for further information regarding the fair value measurement of the bifurcated derivative.</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Total interest expense recognized related to the February 2026 Investor Note for the three months ended June 30, 2026 was $0.6 million, comprised of $0.3 million of contractual interest and $0.3 million of amortized debt discount. For the six months ended June 30, 2026 total interest expense was $0.7 million, comprised of $0.4 million of contractual interest and $0.3 million of amortized debt discount.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February 2026 Investor Note provides for certain events of default. In connection with an event of default, SATS may declare all outstanding principal, accrued and unpaid interest, and other amounts payable to be immediately due and payable. The Company is also subject to certain customary affirmative and negative covenants, including a restriction on the incurrence of additional indebtedness above a specified threshold. As of June 30, 2026, the Company was in compliance with all covenants and there have been no events of default during the period.</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10. STOCKHOLDERS' EQUITY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Pursuant to the Third Amended and Restated Certificate of Incorporation of the Company dated February 14, 2025, the Board is authorized to issue 600,000,000 shares of Common Stock at a par value of $0.0001 per share. As of June 30, 2026, the Company had 55.4 million shares of Common Stock issued and 55.0 million shares of Common Stock outstanding. As of December 31, 2025, the Company had 48.5 million shares of Common Stock issued and 48.4 million shares of Common Stock outstanding. Any dividends declared on Common Stock will be subordinated to dividends on any outstanding preferred shares. Holders of Common Stock are entitled to one vote per share.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Preferred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Third Amended and Restated Certificate of Incorporation of the Company dated February 14, 2025, the Board is authorized to issue 20,000,000 shares of preferred stock at a par value of $0.0001 per share. As of June 30, 2026 and December 31, 2025, the Company had no shares of convertible preferred stock issued and outstanding.</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Warrants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and December 31, 2025, Fold had the following equity-classified warrants: (1) 12,434,658 public warrants related to legacy FTAC Emerald at an exercise price of $11.50; (2) 869,565 Series A and 869,565 Series C Warrants outstanding related to the June 2025 Amended Investor Note, at an exercise price of $12.50 and $9.00, respectively; and (3) 925,590 March 2025 Warrants outstanding related to the March 2025 Investor Note at an exercise price of $15.00.</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Series B warrants issued under the December 2024 SPA were exercised in connection with the Merger. The Series A and Series C warrants remain outstanding following the extinguishment of the June 2025 Amended Investor Note in February 2026, and expire on </w:t>
      </w:r>
    </w:p>
    <w:p>
      <w:pPr>
        <w:pStyle w:val="TextBody"/>
        <w:pBdr>
          <w:top w:val="single" w:sz="6" w:space="1" w:color="000000"/>
        </w:pBdr>
        <w:bidi w:val="0"/>
        <w:jc w:val="center"/>
        <w:rPr>
          <w:rFonts w:ascii="Times New Roman" w:hAnsi="Times New Roman"/>
          <w:sz w:val="20"/>
        </w:rPr>
      </w:pPr>
      <w:r>
        <w:rPr>
          <w:rFonts w:ascii="Arial" w:hAnsi="Arial"/>
          <w:color w:val="000000"/>
          <w:sz w:val="16"/>
        </w:rPr>
        <w:t>- 20</w:t>
      </w:r>
      <w:r>
        <w:rPr>
          <w:rFonts w:ascii="Times New Roman" w:hAnsi="Times New Roman"/>
          <w:color w:val="000000"/>
          <w:sz w:val="20"/>
        </w:rPr>
        <w:t xml:space="preserve"> </w:t>
      </w:r>
      <w:r>
        <w:rPr>
          <w:rFonts w:ascii="Arial" w:hAnsi="Arial"/>
          <w:color w:val="000000"/>
          <w:sz w:val="16"/>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February 14, 2033, and August 14, 2026, respectively. The March 2025 Warrants remain outstanding following the extinguishment of the March 2025 Investor Note in February 2026, and expire on March 11, 2030.</w:t>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2025 Employee Share Purchase Plan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Effective as of the Merger, the Board of Directors adopted the Fold Holdings, Inc. 2025 Employee Stock Purchase Plan (the "ESPP"), pursuant to which 1,216,254 shares of the Company's Common Stock were initially reserved for issuance; such amount increases annually pursuant to an evergreen provision within the ESPP by a number of shares equal to 1% of the shares of Common Stock outstanding as of the end of the fiscal year. The ESPP allows eligible employees to purchase shares of Common Stock at a discount through payroll deductions of up to 15% of their eligible compensation, subject to any plan or offering limitations. On August 1, 2025, the Compensation Committee of the Board of Directors (the "Compensation Committee") approved a series of successive offerings under the ESPP, each consisting of consecutive six-month offering periods. Our initial offering period began on September 1, 2025 and ended on February 28, 2026. A new offering period commenced on March 1, 2026. Subsequent offering periods will automatically commence every six months thereafter, unless cancelled or modified.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the purchase date of each offering (that is, the last date of the offering period), eligible employees have the option to purchase (with accumulated payroll deductions) Common Stock at a price per share equal to 85% of the lesser of (i) the fair market value of the Common Stock on the enrollment date (that is, the first date of the offering period) or (ii) fair market value of a share of Common Stock on the purchase date of the offering. The estimated fair value of shares to be issued under our ESPP is calculated under the Black-Scholes model, as of the grant date.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employee payroll deductions had begun for the new offering period commencing March 1, 2026. The purchase date for the initial offering period occurred on February 28, 2026, at which time approximately 57,485 shares of Common Stock were purchased by eligible employees at a purchase price of $1.27 per share, representing 85% of the lower of the fair market value of Common Stock on the enrollment date or the purchase date. Total stock-based compensation expense recognized in connection with the ESPP was nominal for the six months ended June 30, 2026.</w:t>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2025 Equity Line of Credit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June 16, 2025, the Company entered into the Facility and a Registration Rights Agreement, each with SZOP Opportunities I LLC ("SZOP"). Pursuant to the Facility, the Company has the right to sell to SZOP up to the lesser of (i) $250.0 million of newly issued Fold Common Stock, par value $0.0001 per share, and (ii) the Exchange Cap (as defined in the Facility), from time to time during the 24-month term of the Facility. The execution and timing of sales of Common Stock pursuant to the Facility are solely at the option of the Company, and the Company is under no obligation to sell any securities to SZOP under the Facility. The total number of shares to be sold to the investor is limited to the extent that the shares would not result in SZOP and its affiliates having shares in excess of the beneficial ownership limitation of 9.99%. The purchase price of shares sold to SZOP will be equal to 97% or 92% of the volume weighted average price on the trading day the shares are put to SZOP with a Regular Advance Notice or an Accelerated Advance Notice, respectively (in each case as defined in the Facility). The Company determined that the right to sell shares of the Company’s Common Stock to SZOP pursuant to the Facility represents a freestanding put option under ASC 815, Derivatives and Hedging. The fair value of the put option was determined to be zero as the shares to be issued and the purchase price is settled within one to two business days. The Company began delivering Advance Notices (as defined in the Facility) under the Facility in September 2025. During the three and six months ended June 30, 2026, the Company sold 4.23 million and 4.40 million shares of Common Stock to SZOP, respectively, pursuant to the Facility for gross proceeds of $2.9 million and $3.2 million. During the three and six months ended June 30, 2026, the Company recognized $0.2 million and $0.2 million of amortization related to deferred issuance costs, respectively.</w:t>
      </w:r>
    </w:p>
    <w:p>
      <w:pPr>
        <w:pStyle w:val="TextBody"/>
        <w:bidi w:val="0"/>
        <w:jc w:val="left"/>
        <w:rPr/>
      </w:pPr>
      <w:r>
        <w:rPr/>
        <w:t> </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11. SHARE-BASED COMPENSATION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Prior to the Merger, Fold Predecessor historically granted Restricted Stock Awards ("RSAs") and Restricted Stock Units (“RSUs”) under the Fold, Inc. 2019 Equity Incentive Plan (the “2019 Equity Plan”). In connection with the Merger, the Company adopted the 2025 Incentive Award Plan (the "2025 Equity Plan") and the ESPP which became effective immediately on the date of the Merger. See Note 10 for further information regarding the Company's ESPP. Collectively, the 2019 Equity Plan and 2025 Equity Plan are referred to as the "Equity Plans".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Following the Merger, no further awards may be granted under the 2019 Equity Plan; however, awards granted under that plan will remain subject to the terms and conditions of the 2019 Equity Plan. Under the 2025 Equity Plan, an aggregate number of shares equal to the sum of (i) 10% of the fully-diluted shares of Fold Holdings, Inc. Common Stock as of the Closing, (ii) the number of shares that remained available for issuance under the 2019 Equity Plan as of the Closing and (iii) the number of shares that were subject to awards </w:t>
      </w:r>
    </w:p>
    <w:p>
      <w:pPr>
        <w:pStyle w:val="TextBody"/>
        <w:pBdr>
          <w:top w:val="single" w:sz="6" w:space="1" w:color="000000"/>
        </w:pBdr>
        <w:bidi w:val="0"/>
        <w:jc w:val="center"/>
        <w:rPr>
          <w:rFonts w:ascii="Times New Roman" w:hAnsi="Times New Roman"/>
          <w:sz w:val="20"/>
        </w:rPr>
      </w:pPr>
      <w:r>
        <w:rPr>
          <w:rFonts w:ascii="Arial" w:hAnsi="Arial"/>
          <w:color w:val="000000"/>
          <w:sz w:val="16"/>
        </w:rPr>
        <w:t>- 21</w:t>
      </w:r>
      <w:r>
        <w:rPr>
          <w:rFonts w:ascii="Times New Roman" w:hAnsi="Times New Roman"/>
          <w:color w:val="000000"/>
          <w:sz w:val="20"/>
        </w:rPr>
        <w:t xml:space="preserve"> </w:t>
      </w:r>
      <w:r>
        <w:rPr>
          <w:rFonts w:ascii="Arial" w:hAnsi="Arial"/>
          <w:color w:val="000000"/>
          <w:sz w:val="16"/>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the 2019 Equity Plan as of the Closing and which, following the Closing, became available for grant under the 2025 Equity Plan, were initially reserved under the 2025 Equity Plan.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purpose of the Equity Plans is to offer select Participants (defined as employees, consultants, or outside directors) the opportunity to acquire equity in the Company through the awards of Options, RSAs, Stock Appreciation Rights, RSUs, and Other Stock Awards (collectively and individually, “Awards”). RSUs are Awards of an unfunded and unsecured right to receive shares of Common Stock (or cash or a combination of shares of Common Stock and cash, as determined in the sole discretion of the Board) upon settlement of the Award. RSAs are Awards of restricted shares of Company Common Stock. Each Award may or may not be subject to vesting. Vesting occurs upon satisfaction of the conditions specified in each individual award agreement. As of June 30, 2026, the Company has not issued any Options, Stock Appreciation Rights, or Other Stock Awards through the Equity Plans.</w:t>
      </w:r>
    </w:p>
    <w:p>
      <w:pPr>
        <w:pStyle w:val="TextBody"/>
        <w:bidi w:val="0"/>
        <w:spacing w:before="360" w:after="283"/>
        <w:jc w:val="both"/>
        <w:rPr>
          <w:rFonts w:ascii="Times New Roman" w:hAnsi="Times New Roman"/>
          <w:sz w:val="20"/>
        </w:rPr>
      </w:pPr>
      <w:r>
        <w:rPr>
          <w:rFonts w:ascii="Times New Roman" w:hAnsi="Times New Roman"/>
          <w:b/>
          <w:i/>
          <w:color w:val="000000"/>
          <w:sz w:val="20"/>
        </w:rPr>
        <w:t>Restricted Stock Units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Prior to the Merger, Fold Predecessor's RSUs had two vesting conditions: a service condition that is typically satisfied based on the grantee's continuous service over 48 months with a one-year cliff vesting requirement (though some RSUs have been granted with different service-vesting schedules, including without the one-year cliff), and a performance condition related to the consummation of a liquidity event defined in the award agreements as the first to occur of a change of control or the first sale of Common Stock pursuant to an IPO. The Merger with FTAC Emerald on February 14, 2025 was deemed to have satisfied the performance condition criteria. Following the Merger, the Company's RSUs are subject to vesting requirements of each individual Award grant, which will typically include only a service condition based on the grantee's continuous service over 48 months with a one-year cliff vesting requirement.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February 14, 2025, upon Closing of the Merger, each outstanding Fold Predecessor RSU award was converted into an Award of RSUs covering a number of shares of Common Stock of Fold Holdings, Inc. determined by multiplying (i) the number of shares of Fold Predecessor Common Stock subject to the Fold Predecessor RSU Award immediately prior to the consummation of the Merger by (ii) ~82.5% (rounded down to the nearest whole share). As the Merger was deemed to have satisfied the performance vesting condition under the RSU Awards, 1.4 million Fold Predecessor RSUs vested upon the Closing of the Merger, resulting in the recognition of share-based compensation expense totaling $4.4 million with a weighted average grant date fair value of $3.37 for RSUs vested during the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recognized $1.7 million and $3.4 million of share-based compensation expense for the three and six months ended June 30, 2026, respectively. The Company recognized $1.7 million and $6.9 million of share-based compensation expense for the three and six months ended June 30, 2025, which included $4.4 million of share-based compensation expense that was immediately recognized due to the performance condition being satisfied on February 14, 2025. There was $14.1 million of unrecognized share-based compensation expense related to unvested awards as of June 30, 2026. The unrecognized compensation expense will be recognized on a straight-line basis over the weighted average vesting period of 2.86 years.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Restricted Stock Award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awarded RSAs are not subject to any performance condition vesting requirements and are instead subject only to service conditions. We recorded no share-based compensation expense for the six months ended June 30, 2026 and 2025, respectively. There was no unrecognized compensation expense related to RSAs as of June 30, 2026 or December 31, 2025. There were no additional RSAs granted during the six months ended June 30, 2026 or June 30, 2025.</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Determination of fair value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initial value of the Awards on the dates that the RSUs and RSAs were granted was determined based on the underlying value of Fold Predecessor’s Common Stock. As securities of a private company, the Fold Predecessor's Common Stock was valued by performing an enterprise valuation using a guideline public company market approach method. This method leverages an analysis of publicly traded peers to develop relevant market multiples and ratios applied to the Company’s historical and expected cash flows. As a public company, the fair value of our Common Stock is determined on the grant date using the closing price of our Common Stock, which is traded on the Nasdaq Capital Market.</w:t>
      </w:r>
    </w:p>
    <w:p>
      <w:pPr>
        <w:pStyle w:val="TextBody"/>
        <w:pBdr>
          <w:top w:val="single" w:sz="6" w:space="1" w:color="000000"/>
        </w:pBdr>
        <w:bidi w:val="0"/>
        <w:jc w:val="center"/>
        <w:rPr>
          <w:rFonts w:ascii="Times New Roman" w:hAnsi="Times New Roman"/>
          <w:sz w:val="20"/>
        </w:rPr>
      </w:pPr>
      <w:r>
        <w:rPr>
          <w:rFonts w:ascii="Arial" w:hAnsi="Arial"/>
          <w:color w:val="000000"/>
          <w:sz w:val="16"/>
        </w:rPr>
        <w:t>- 22</w:t>
      </w:r>
      <w:r>
        <w:rPr>
          <w:rFonts w:ascii="Times New Roman" w:hAnsi="Times New Roman"/>
          <w:color w:val="000000"/>
          <w:sz w:val="20"/>
        </w:rPr>
        <w:t xml:space="preserve"> </w:t>
      </w:r>
      <w:r>
        <w:rPr>
          <w:rFonts w:ascii="Arial" w:hAnsi="Arial"/>
          <w:color w:val="000000"/>
          <w:sz w:val="16"/>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RSU and RSA activity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RSU and RSA share activity under the Equity Plans for the six months ended June 30, 2026 and 2025:</w:t>
      </w:r>
    </w:p>
    <w:p>
      <w:pPr>
        <w:pStyle w:val="TextBody"/>
        <w:bidi w:val="0"/>
        <w:jc w:val="both"/>
        <w:rPr/>
      </w:pPr>
      <w:r>
        <w:rPr/>
        <w:t> </w:t>
      </w:r>
    </w:p>
    <w:tbl>
      <w:tblPr>
        <w:tblW w:w="6045" w:type="dxa"/>
        <w:jc w:val="left"/>
        <w:tblInd w:w="0" w:type="dxa"/>
        <w:tblLayout w:type="fixed"/>
        <w:tblCellMar>
          <w:top w:w="28" w:type="dxa"/>
          <w:left w:w="28" w:type="dxa"/>
          <w:bottom w:w="28" w:type="dxa"/>
          <w:right w:w="28" w:type="dxa"/>
        </w:tblCellMar>
      </w:tblPr>
      <w:tblGrid>
        <w:gridCol w:w="3211"/>
        <w:gridCol w:w="146"/>
        <w:gridCol w:w="146"/>
        <w:gridCol w:w="146"/>
        <w:gridCol w:w="991"/>
        <w:gridCol w:w="166"/>
        <w:gridCol w:w="146"/>
        <w:gridCol w:w="146"/>
        <w:gridCol w:w="736"/>
        <w:gridCol w:w="21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RSAs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Shares nonvested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3,590,873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2,843,562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Shares nonvested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5,184,633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RSAs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Shares nonvested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2,098,620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3,064,628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Shares nonvested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3,560,054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12. COMMITMENTS AND CONTINGENCIES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401(k)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sponsor a 401(k) defined contribution plan covering all eligible U.S. employees. Both Company and employee contributions to the 401(k) plan are discretionary. For the three months ended June 30, 2026 and 2025, we recorded a nominal amount of expense related to the 401(k) plan, which is included in compensation and benefits in the accompanying statements of operations. For the six months ended June 30, 2026 and 2025, we recorded $0.1 million and $0.1 million of expense related to the 401(k) plan, which is included in compensation and benefits in the accompanying statements of operations. </w:t>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Litigation</w:t>
      </w:r>
    </w:p>
    <w:p>
      <w:pPr>
        <w:pStyle w:val="TextBody"/>
        <w:bidi w:val="0"/>
        <w:spacing w:before="120" w:after="283"/>
        <w:jc w:val="both"/>
        <w:rPr>
          <w:rFonts w:ascii="Times New Roman" w:hAnsi="Times New Roman"/>
          <w:sz w:val="20"/>
        </w:rPr>
      </w:pPr>
      <w:r>
        <w:rPr>
          <w:rFonts w:ascii="Times New Roman" w:hAnsi="Times New Roman"/>
          <w:color w:val="000000"/>
          <w:sz w:val="20"/>
        </w:rPr>
        <w:t>In connection with the chapter 11 bankruptcy proceeding of Prime Core Technologies, Inc. (“Prime Core”), on August 14, 2025, the Company was named as a defendant in a proceeding pending in the United States Bankruptcy Court for the District of Delaware (</w:t>
      </w:r>
      <w:r>
        <w:rPr>
          <w:rFonts w:ascii="Times New Roman" w:hAnsi="Times New Roman"/>
          <w:i/>
          <w:color w:val="000000"/>
          <w:sz w:val="20"/>
        </w:rPr>
        <w:t>PCT Litigation Trust v. Fold Holdings, Inc.</w:t>
      </w:r>
      <w:r>
        <w:rPr>
          <w:rFonts w:ascii="Times New Roman" w:hAnsi="Times New Roman"/>
          <w:color w:val="000000"/>
          <w:sz w:val="20"/>
        </w:rPr>
        <w:t xml:space="preserve">, Adv. Pro. No. 25-52024 (JKS)), pursuant to which the litigation trust for Prime Core (“PCT Litigation Trust”) sought avoidance and recovery of alleged preferential transfers.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June 30, 2026, the Company entered into a settlement agreement with the PCT Litigation Trust, without any admission of liability by the Company. Under the terms of the settlement, the Company agreed to pay 23.5 bitcoin in full and final satisfaction of the claims asserted, with payment due within 30 days of the agreement's effective date. The PCT Litigation Trust agreed to dismiss its proceeding against us with prejudice upon receipt of payment, and the parties provided each other with mutual releases. As of June 30, 2026, the Company recorded an accrued liability of approximately $1.4 million, representing the U.S. dollar value of the settlement payment based on the closing price of bitcoin as of the agreement's execution date, consistent with the valuation methodology specified in the settlement agreement. Subsequent to June 30, 2026, on July 6, 2026, the Company remitted 23.5 bitcoin to the PCT Litigation Trust in satisfaction of the accrued liability described above.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the Company may be subject to, or pursue, other claims, inquiries, or legal proceedings arising in the ordinary course of business. While the outcome of any future matter is inherently uncertain, we do not currently expect that any such matters, if they were to arise, would have a material adverse effect on our condensed consolidated financial position, liquidity, capital resources, or results of operations.</w:t>
      </w:r>
    </w:p>
    <w:p>
      <w:pPr>
        <w:pStyle w:val="TextBody"/>
        <w:bidi w:val="0"/>
        <w:spacing w:before="120" w:after="283"/>
        <w:jc w:val="both"/>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13. 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three and six months ended June 30, 2026, the Company had net losses before income taxes of $9.7 million and $38.8 million, respectively, and a nominal amount of income tax expense. During the three and six months ended June 30, 2025, the Company had net income and net losses before income taxes of $13.4 million and $35.4 million, respectively, and a nominal amount of income tax expense. For the three and six months ended June 30, 2026 and 2025, the Company recognized income tax expense instead of an income </w:t>
      </w:r>
    </w:p>
    <w:p>
      <w:pPr>
        <w:pStyle w:val="TextBody"/>
        <w:pBdr>
          <w:top w:val="single" w:sz="6" w:space="1" w:color="000000"/>
        </w:pBdr>
        <w:bidi w:val="0"/>
        <w:jc w:val="center"/>
        <w:rPr>
          <w:rFonts w:ascii="Times New Roman" w:hAnsi="Times New Roman"/>
          <w:sz w:val="20"/>
        </w:rPr>
      </w:pPr>
      <w:r>
        <w:rPr>
          <w:rFonts w:ascii="Arial" w:hAnsi="Arial"/>
          <w:color w:val="000000"/>
          <w:sz w:val="16"/>
        </w:rPr>
        <w:t>- 23</w:t>
      </w:r>
      <w:r>
        <w:rPr>
          <w:rFonts w:ascii="Times New Roman" w:hAnsi="Times New Roman"/>
          <w:color w:val="000000"/>
          <w:sz w:val="20"/>
        </w:rPr>
        <w:t xml:space="preserve"> </w:t>
      </w:r>
      <w:r>
        <w:rPr>
          <w:rFonts w:ascii="Arial" w:hAnsi="Arial"/>
          <w:color w:val="000000"/>
          <w:sz w:val="16"/>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tax benefit at the expected federal tax rate of 21% due to certain losses that are not deductible for tax purposes and an increase in the valuation allowance, partially offset by the effect of state 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the Company has federal and state net operating loss (NOL) carryforwards available to offset future taxable income. Section 382 imposes an annual limitation on the amount of taxable income that can be offset by NOLs following a greater than 50% ownership change by 5% shareholders over a rolling three-year period. As of June 30, 2026, the Company has not completed a study to assess Section 382. Until this analysis is complete, no assurance can be given that the Company will be able to fully utilize its NOL carryforwards. If a limitation is determined to apply, it could materially impact the Company’s ability to offset future taxable income and reduce future cash tax obligations. The Company will update this disclosure in future filings as more information becomes available.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July 4, 2025, the One Big Beautiful Bill Act ("OBBBA") was enacted in the US. The OBBBA contains, among other provisions, certain changes to U.S. federal income tax laws. The accounting for changes in tax rates and tax law are required to be recognized in the period in which the legislation is enacted. The OBBBA has multiple effective dates, with certain provisions effective in 2026 and others implemented through 2027. The Company is currently assessing the impact of the OBBBA on its financial statements.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14. FAIR VALUE MEASUREMENTS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Financial assets and liabilities that are measured at fair value on a recurring basis are classified as Level 1, Level 2, and Level 3 as follows:</w:t>
      </w:r>
    </w:p>
    <w:p>
      <w:pPr>
        <w:pStyle w:val="TextBody"/>
        <w:bidi w:val="0"/>
        <w:jc w:val="both"/>
        <w:rPr/>
      </w:pPr>
      <w:r>
        <w:rPr/>
        <w:t> </w:t>
      </w:r>
    </w:p>
    <w:tbl>
      <w:tblPr>
        <w:tblW w:w="9890" w:type="dxa"/>
        <w:jc w:val="left"/>
        <w:tblInd w:w="0" w:type="dxa"/>
        <w:tblLayout w:type="fixed"/>
        <w:tblCellMar>
          <w:top w:w="28" w:type="dxa"/>
          <w:left w:w="28" w:type="dxa"/>
          <w:bottom w:w="28" w:type="dxa"/>
          <w:right w:w="28" w:type="dxa"/>
        </w:tblCellMar>
      </w:tblPr>
      <w:tblGrid>
        <w:gridCol w:w="4306"/>
        <w:gridCol w:w="146"/>
        <w:gridCol w:w="211"/>
        <w:gridCol w:w="1036"/>
        <w:gridCol w:w="146"/>
        <w:gridCol w:w="146"/>
        <w:gridCol w:w="211"/>
        <w:gridCol w:w="1036"/>
        <w:gridCol w:w="146"/>
        <w:gridCol w:w="146"/>
        <w:gridCol w:w="410"/>
        <w:gridCol w:w="325"/>
        <w:gridCol w:w="146"/>
        <w:gridCol w:w="146"/>
        <w:gridCol w:w="211"/>
        <w:gridCol w:w="931"/>
        <w:gridCol w:w="191"/>
      </w:tblGrid>
      <w:tr>
        <w:trPr/>
        <w:tc>
          <w:tcPr>
            <w:tcW w:w="4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4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Digital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15,860,313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15,860,313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15,860,313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15,860,313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rewards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4,504,290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4,504,290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2026 Investor Note - embedded derivative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85,214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4,589,504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4,589,504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018" w:type="dxa"/>
        <w:jc w:val="left"/>
        <w:tblInd w:w="0" w:type="dxa"/>
        <w:tblLayout w:type="fixed"/>
        <w:tblCellMar>
          <w:top w:w="28" w:type="dxa"/>
          <w:left w:w="28" w:type="dxa"/>
          <w:bottom w:w="28" w:type="dxa"/>
          <w:right w:w="28" w:type="dxa"/>
        </w:tblCellMar>
      </w:tblPr>
      <w:tblGrid>
        <w:gridCol w:w="2266"/>
        <w:gridCol w:w="146"/>
        <w:gridCol w:w="211"/>
        <w:gridCol w:w="1141"/>
        <w:gridCol w:w="146"/>
        <w:gridCol w:w="146"/>
        <w:gridCol w:w="211"/>
        <w:gridCol w:w="1141"/>
        <w:gridCol w:w="146"/>
        <w:gridCol w:w="204"/>
        <w:gridCol w:w="296"/>
        <w:gridCol w:w="234"/>
        <w:gridCol w:w="146"/>
        <w:gridCol w:w="146"/>
        <w:gridCol w:w="211"/>
        <w:gridCol w:w="1036"/>
        <w:gridCol w:w="1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Digital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140,531,660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140,531,660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140,531,660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140,531,660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rewards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6,872,869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6,872,869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2025 Investor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47,207,556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47,207,556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54,080,425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54,080,425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carrying amounts of certain financial instruments, including cash and cash equivalents, accounts receivables, accounts payable and accrued liabilities, and deferred revenue approximate their fair values due to their short-term nature.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fair value of our digital assets was determined using the Level 1 input of bitcoin prices in the market we determined to be the principal market as of June 30, 2026 and December 31, 2025.</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Customer rewards liability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customer rewards liability is classified as a Level 3 financial instrument within the fair value hierarchy primarily due to the reward forfeiture rate applied to the value of the bitcoin obligation, which is an unobservable input to the fair value measurement. The Company has determined the bitcoin price based on its value in the market we determined to be the principal market for the related digital asset as of June 30, 2026 and December 31, 2025, which is considered a Level 1 input. The forfeiture rate is then applied to reflect an estimated breakage rate of rewards that have been forfeited based on the contractual terms and conditions of our Rewards Program and historical trends of forfeiture rates on a three-year trailing basis. The estimated forfeiture rate applied to our customer rewards liability for the periods ended June 30, 2026 and 2025 was 10%.</w:t>
      </w:r>
    </w:p>
    <w:p>
      <w:pPr>
        <w:pStyle w:val="TextBody"/>
        <w:pBdr>
          <w:top w:val="single" w:sz="6" w:space="1" w:color="000000"/>
        </w:pBdr>
        <w:bidi w:val="0"/>
        <w:jc w:val="center"/>
        <w:rPr>
          <w:rFonts w:ascii="Times New Roman" w:hAnsi="Times New Roman"/>
          <w:sz w:val="20"/>
        </w:rPr>
      </w:pPr>
      <w:r>
        <w:rPr>
          <w:rFonts w:ascii="Arial" w:hAnsi="Arial"/>
          <w:color w:val="000000"/>
          <w:sz w:val="16"/>
        </w:rPr>
        <w:t>- 24</w:t>
      </w:r>
      <w:r>
        <w:rPr>
          <w:rFonts w:ascii="Times New Roman" w:hAnsi="Times New Roman"/>
          <w:color w:val="000000"/>
          <w:sz w:val="20"/>
        </w:rPr>
        <w:t xml:space="preserve"> </w:t>
      </w:r>
      <w:r>
        <w:rPr>
          <w:rFonts w:ascii="Arial" w:hAnsi="Arial"/>
          <w:color w:val="000000"/>
          <w:sz w:val="16"/>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Convertible Note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February 2026, the Company repaid the March 2025 Investor Note through the delivery of 500 bitcoin. Because the note was extinguished via a fixed delivery of bitcoin, the Company determined that the spot price of bitcoin on the repayment date represented the best estimate of fair value immediately prior to settlement. The resulting fair value adjustment, measured as the difference between the December 31, 2025 fair value and the settlement-date fair value, was recorded in the change in fair value of the convertible note within the condensed consolidated statements of operations.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summarizes the changes in fair value associated with Level 3 convertible note financial instruments held at the beginning or end of the periods presented:</w:t>
      </w:r>
    </w:p>
    <w:p>
      <w:pPr>
        <w:pStyle w:val="TextBody"/>
        <w:bidi w:val="0"/>
        <w:jc w:val="both"/>
        <w:rPr/>
      </w:pPr>
      <w:r>
        <w:rPr/>
        <w:t> </w:t>
      </w:r>
    </w:p>
    <w:tbl>
      <w:tblPr>
        <w:tblW w:w="6538" w:type="dxa"/>
        <w:jc w:val="left"/>
        <w:tblInd w:w="0" w:type="dxa"/>
        <w:tblLayout w:type="fixed"/>
        <w:tblCellMar>
          <w:top w:w="28" w:type="dxa"/>
          <w:left w:w="28" w:type="dxa"/>
          <w:bottom w:w="28" w:type="dxa"/>
          <w:right w:w="28" w:type="dxa"/>
        </w:tblCellMar>
      </w:tblPr>
      <w:tblGrid>
        <w:gridCol w:w="4636"/>
        <w:gridCol w:w="146"/>
        <w:gridCol w:w="249"/>
        <w:gridCol w:w="1296"/>
        <w:gridCol w:w="211"/>
      </w:tblGrid>
      <w:tr>
        <w:trPr/>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Convertible Note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46,279,500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adjustment - day one loss on issuance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12,753,994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adjustment - 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(910,243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58,123,251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adjustment - 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(10,915,695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47,207,556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adjustment - 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(13,200,089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Settlement - delivery of 500 bitcoin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(34,007,467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sz w:val="20"/>
        </w:rPr>
      </w:pPr>
      <w:r>
        <w:rPr>
          <w:rFonts w:ascii="Times New Roman" w:hAnsi="Times New Roman"/>
          <w:b/>
          <w:i/>
          <w:color w:val="000000"/>
          <w:sz w:val="20"/>
        </w:rPr>
        <w:t>Embedded Derivative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fair value of the bifurcated derivative liability associated with the February 2026 Investor Note (refer to Note 9) was determined using a Monte Carlo simulation model, which requires the use of several inputs and significant assumptions, including the risk-free rate, bitcoin price volatility, the Company's enterprise value volatility, and the correlation between bitcoin returns and the Company's enterprise value returns.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Fair value measurements associated with the bifurcated derivative were determined based on significant inputs not observable in the market, which represent Level 3 measurements within the fair value hierarchy. Increases and decreases in the fair value of the derivative can result from updates to assumptions such as the price of bitcoin, the probability and timing of the mandatory prepayment triggers being exercised, or changes in the risk-free rate, among other assumptions.</w:t>
      </w:r>
    </w:p>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15. CUSTODY OF DIGITAL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provide custody services on behalf of our customers through an unrelated third-party service provider, who is a qualified custodian. We do not own digital assets held in a custodial capacity on behalf of our customers. We maintain internal record keeping of those assets and are obligated to safeguard the assets. We do not hold the cryptographic key information on behalf of our customers. The qualified custodian used by Fold holds our customer cryptographic key information. We are not aware of any actual or possible safeguarding loss events requiring recognition under ASC 450-20, Loss Contingencies, as of and for the six months ended June 30, 2026 or year ended December 31,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fair value of customer digital assets held by our qualified custodian totaled $16.8 million and $21.3 million at June 30, 2026 and December 31, 2025, respectively. These assets are not recorded in the Company's balance sheets. Similarly, as the Company has an obligation to safeguard these assets, it has a corresponding unrecorded liability of $16.8 million and $21.3 million at June 30, 2026 and December 31, 2025, respectively. Since the risk of loss is remote, the Company did not record a contingent liability at June 30, 2026 or December 31, 2025. The Company has no reason to believe it will incur any expense associated with such potential liability because it has no known or historical experience of claims to use as a basis of measurement, and it accounts for and continually verifies the amount of digital assets within its qualified custodians' control.</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16. NET INCOME (LOSS) PER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Basic net income (loss) per share is computed by dividing the net income (loss) by the weighted-average number of shares of Common Stock outstanding during the period. Diluted net income (loss) per share is computed by dividing net income (loss) by the weighted-average number of shares of Common Stock outstanding adjusted for the dilutive effect of all potential shares of Common Stock. In </w:t>
      </w:r>
    </w:p>
    <w:p>
      <w:pPr>
        <w:pStyle w:val="TextBody"/>
        <w:pBdr>
          <w:top w:val="single" w:sz="6" w:space="1" w:color="000000"/>
        </w:pBdr>
        <w:bidi w:val="0"/>
        <w:jc w:val="center"/>
        <w:rPr>
          <w:rFonts w:ascii="Times New Roman" w:hAnsi="Times New Roman"/>
          <w:sz w:val="20"/>
        </w:rPr>
      </w:pPr>
      <w:r>
        <w:rPr>
          <w:rFonts w:ascii="Arial" w:hAnsi="Arial"/>
          <w:color w:val="000000"/>
          <w:sz w:val="16"/>
        </w:rPr>
        <w:t>- 25</w:t>
      </w:r>
      <w:r>
        <w:rPr>
          <w:rFonts w:ascii="Times New Roman" w:hAnsi="Times New Roman"/>
          <w:color w:val="000000"/>
          <w:sz w:val="20"/>
        </w:rPr>
        <w:t xml:space="preserve"> </w:t>
      </w:r>
      <w:r>
        <w:rPr>
          <w:rFonts w:ascii="Arial" w:hAnsi="Arial"/>
          <w:color w:val="000000"/>
          <w:sz w:val="16"/>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periods when the Company reported a net loss, diluted net loss per share is the same as basic net loss per share because the effects of potentially dilutive items were anti-dilutive.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described in Note 1, the Company consummated the Merger on February 14, 2025. The Company accounted for the Merger as a reverse recapitalization. Net income (loss) per share calculations for all periods prior to the Merger have been retrospectively adjusted by the Exchange Ratio for the equivalent number of shares of Common Stock outstanding immediately after the Merger to effect the reverse recapitalization. The Exchange Ratio was calculated as the quotient of (a) the Aggregate Merger Consideration, divided by (b) the number of shares of Fold Fully Diluted Capital Stock as defined in the Merger Agreement. Subsequent to the Merger, net income (loss) per share is calculated based on the weighted average number of shares of Common Stock outstanding. </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3498"/>
        <w:gridCol w:w="146"/>
        <w:gridCol w:w="146"/>
        <w:gridCol w:w="211"/>
        <w:gridCol w:w="1036"/>
        <w:gridCol w:w="166"/>
        <w:gridCol w:w="146"/>
        <w:gridCol w:w="211"/>
        <w:gridCol w:w="1036"/>
        <w:gridCol w:w="146"/>
        <w:gridCol w:w="146"/>
        <w:gridCol w:w="211"/>
        <w:gridCol w:w="1096"/>
        <w:gridCol w:w="166"/>
        <w:gridCol w:w="146"/>
        <w:gridCol w:w="211"/>
        <w:gridCol w:w="1096"/>
        <w:gridCol w:w="391"/>
      </w:tblGrid>
      <w:tr>
        <w:trPr/>
        <w:tc>
          <w:tcPr>
            <w:tcW w:w="34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Three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Six Months Ended </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Basic net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4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(9,651,557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13,425,567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(38,819,463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(35,453,632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 attributable to common stockholders,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(9,651,557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13,425,567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(38,819,463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(35,453,632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4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shares used to compute net income (loss) per share,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51,825,321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46,503,358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50,746,857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36,062,784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 per share attributable to common stockholders,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Diluted net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4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(9,651,557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13,425,567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(38,819,463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(35,453,632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attributable to common stockholders,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(9,651,557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13,425,567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(38,819,463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(35,453,632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4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shares used to compute net income (loss) per share,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51,825,321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46,503,358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50,746,857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36,062,784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effect of potentially dilutive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Non-vested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1,057,758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shares used to compute net income (loss) per share,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51,825,321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47,561,116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50,746,857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36,062,784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 per share attributable to common stockholders,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following potential Common Stock were excluded from the calculation of diluted net income (loss) per share because their effect would have been anti-dilutive for the periods presented:</w:t>
      </w:r>
    </w:p>
    <w:p>
      <w:pPr>
        <w:pStyle w:val="TextBody"/>
        <w:bidi w:val="0"/>
        <w:jc w:val="left"/>
        <w:rPr/>
      </w:pPr>
      <w:r>
        <w:rPr/>
        <w:t> </w:t>
      </w:r>
    </w:p>
    <w:tbl>
      <w:tblPr>
        <w:tblW w:w="8908" w:type="dxa"/>
        <w:jc w:val="left"/>
        <w:tblInd w:w="0" w:type="dxa"/>
        <w:tblLayout w:type="fixed"/>
        <w:tblCellMar>
          <w:top w:w="28" w:type="dxa"/>
          <w:left w:w="28" w:type="dxa"/>
          <w:bottom w:w="28" w:type="dxa"/>
          <w:right w:w="28" w:type="dxa"/>
        </w:tblCellMar>
      </w:tblPr>
      <w:tblGrid>
        <w:gridCol w:w="2821"/>
        <w:gridCol w:w="146"/>
        <w:gridCol w:w="146"/>
        <w:gridCol w:w="146"/>
        <w:gridCol w:w="1036"/>
        <w:gridCol w:w="146"/>
        <w:gridCol w:w="146"/>
        <w:gridCol w:w="146"/>
        <w:gridCol w:w="1036"/>
        <w:gridCol w:w="146"/>
        <w:gridCol w:w="146"/>
        <w:gridCol w:w="146"/>
        <w:gridCol w:w="1036"/>
        <w:gridCol w:w="146"/>
        <w:gridCol w:w="146"/>
        <w:gridCol w:w="146"/>
        <w:gridCol w:w="1036"/>
        <w:gridCol w:w="19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Three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Six Months Ended </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Unvested restricted stock units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5,184,633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5,184,633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3,560,054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Convertible notes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5,924,582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5,924,582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Investor warrants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15,099,378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15,099,378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15,099,378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15,099,378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Employee stock purchase plan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anti-dilutive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20,329,911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21,023,960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20,315,580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24,584,014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Potentially dilutive securities attributable to outstanding unvested restricted stock units are excluded from the calculation of diluted loss per share as the effect of the incremental Common Stock would be anti-dilutive and are therefore excluded from the loss per share calculation. </w:t>
      </w:r>
    </w:p>
    <w:p>
      <w:pPr>
        <w:pStyle w:val="TextBody"/>
        <w:pBdr>
          <w:top w:val="single" w:sz="6" w:space="1" w:color="000000"/>
        </w:pBdr>
        <w:bidi w:val="0"/>
        <w:jc w:val="center"/>
        <w:rPr>
          <w:rFonts w:ascii="Times New Roman" w:hAnsi="Times New Roman"/>
          <w:sz w:val="20"/>
        </w:rPr>
      </w:pPr>
      <w:r>
        <w:rPr>
          <w:rFonts w:ascii="Arial" w:hAnsi="Arial"/>
          <w:color w:val="000000"/>
          <w:sz w:val="16"/>
        </w:rPr>
        <w:t>- 26</w:t>
      </w:r>
      <w:r>
        <w:rPr>
          <w:rFonts w:ascii="Times New Roman" w:hAnsi="Times New Roman"/>
          <w:color w:val="000000"/>
          <w:sz w:val="20"/>
        </w:rPr>
        <w:t xml:space="preserve"> </w:t>
      </w:r>
      <w:r>
        <w:rPr>
          <w:rFonts w:ascii="Arial" w:hAnsi="Arial"/>
          <w:color w:val="000000"/>
          <w:sz w:val="16"/>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June 2025 Amended Note contained a conversion feature that allowed the investor the option to convert the June 2025 Amended Note in exchange for 2,222,222 shares of Common Stock. The March 2025 Investor Note contained a conversion feature that allowed the investor the option to convert in exchange for 3,702,260 shares of Common Stock. The effect of the incremental Common Stock issuable upon a conversion of these notes was anti-dilutive based on Fold's average share price for the three and six months ended June 30, 2026 and was therefore excluded from the loss per share calculation.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and 2025, the Company had (1) 12,434,658 public warrants related to legacy FTAC Emerald at an exercise price of $11.50; (2) 869,565 Series A and 869,565 Series C Warrants, at an exercise price of $12.50 and $9.00, respectively; and (3) 925,590 March 2025 Warrants outstanding at an exercise price of $15.00. These warrants are considered anti-dilutive based on Fold's average share price for the three and six months ended June 30, 2026 and are therefore excluded from the income (loss) per share calculation.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Potentially dilutive securities attributable to the employee stock purchase plan are excluded from the calculation of diluted shares outstanding as of June 30, 2026. The effect of the incremental Common Stock would be anti-dilutive and therefore excluded from the loss per share calculation. </w:t>
      </w:r>
    </w:p>
    <w:p>
      <w:pPr>
        <w:pStyle w:val="TextBody"/>
        <w:bidi w:val="0"/>
        <w:jc w:val="both"/>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17. SUBSEQUENT EVENTS</w:t>
      </w:r>
    </w:p>
    <w:p>
      <w:pPr>
        <w:pStyle w:val="TextBody"/>
        <w:bidi w:val="0"/>
        <w:jc w:val="left"/>
        <w:rPr>
          <w:rFonts w:ascii="Times New Roman" w:hAnsi="Times New Roman"/>
          <w:color w:val="000000"/>
          <w:sz w:val="20"/>
        </w:rPr>
      </w:pPr>
      <w:r>
        <w:rPr>
          <w:rFonts w:ascii="Times New Roman" w:hAnsi="Times New Roman"/>
          <w:color w:val="000000"/>
          <w:sz w:val="20"/>
        </w:rPr>
        <w:br/>
        <w:t>The Company evaluated subsequent events, if any, that would require an adjustment to the Company’s financial statements or require disclosure in the notes to the financial statements through August 11, 2026, the date the financial statements were issued. Where applicable, the notes to these financial statements have been updated to discuss significant subsequent events which have occurred.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Additionally, the Company identified the following subsequent events for disclosure:</w:t>
        <w:br/>
        <w:br/>
        <w:t>The Board has approved seeking stockholder approval for a reverse stock split with a possible ratio from 2-for-1 to 50-for-1, with the exact ratio to be determined by the Board at a later date, and with the Board retaining the discretion to decide not to pursue a reverse stock split.</w:t>
      </w:r>
    </w:p>
    <w:p>
      <w:pPr>
        <w:pStyle w:val="TextBody"/>
        <w:bidi w:val="0"/>
        <w:jc w:val="left"/>
        <w:rPr/>
      </w:pPr>
      <w:r>
        <w:rPr/>
        <w:t> </w:t>
      </w:r>
    </w:p>
    <w:p>
      <w:pPr>
        <w:pStyle w:val="TextBody"/>
        <w:bidi w:val="0"/>
        <w:jc w:val="left"/>
        <w:rPr/>
      </w:pPr>
      <w:r>
        <w:rPr/>
        <w:t> </w:t>
      </w:r>
    </w:p>
    <w:p>
      <w:pPr>
        <w:pStyle w:val="TextBody"/>
        <w:bidi w:val="0"/>
        <w:spacing w:before="120" w:after="283"/>
        <w:jc w:val="both"/>
        <w:rPr/>
      </w:pPr>
      <w:r>
        <w:rPr/>
        <w:t> </w:t>
      </w:r>
    </w:p>
    <w:p>
      <w:pPr>
        <w:pStyle w:val="TextBody"/>
        <w:bidi w:val="0"/>
        <w:jc w:val="left"/>
        <w:rPr/>
      </w:pPr>
      <w:r>
        <w:rPr/>
        <w:t> </w:t>
      </w:r>
    </w:p>
    <w:p>
      <w:pPr>
        <w:pStyle w:val="TextBody"/>
        <w:pBdr>
          <w:top w:val="single" w:sz="6" w:space="1" w:color="000000"/>
        </w:pBdr>
        <w:bidi w:val="0"/>
        <w:jc w:val="center"/>
        <w:rPr>
          <w:rFonts w:ascii="Times New Roman" w:hAnsi="Times New Roman"/>
          <w:sz w:val="20"/>
        </w:rPr>
      </w:pPr>
      <w:r>
        <w:rPr>
          <w:rFonts w:ascii="Arial" w:hAnsi="Arial"/>
          <w:color w:val="000000"/>
          <w:sz w:val="16"/>
        </w:rPr>
        <w:t>- 27</w:t>
      </w:r>
      <w:r>
        <w:rPr>
          <w:rFonts w:ascii="Times New Roman" w:hAnsi="Times New Roman"/>
          <w:color w:val="000000"/>
          <w:sz w:val="20"/>
        </w:rPr>
        <w:t xml:space="preserve"> </w:t>
      </w:r>
      <w:r>
        <w:rPr>
          <w:rFonts w:ascii="Arial" w:hAnsi="Arial"/>
          <w:color w:val="000000"/>
          <w:sz w:val="16"/>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 Management’s Discussion and Analysis of Financial Condition and Results of Operations.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The following discussion and analysis presents management’s perspective on our financial condition and results of operations, including performance metrics that management uses to assess company performance and should be read together with our financial statements and the related notes and other financial information included elsewhere in this filing.</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The information in this discussion contains forward-looking statements within the meaning of Section 27A of the Securities Act of 1933, as amended, and Section 21E of the Securities Exchange Act of 1934, as amended (the “Exchange Act”). Such statements are based upon current expectations, as well as management’s beliefs and assumptions, and involve a high degree of risk and uncertainty. Any statements contained herein that are not statements of historical fact may be deemed to be forward-looking statements. Statements that include the words “believes,” “anticipates,” “plans,” “expects,” “intends,” and similar expressions that convey uncertainty of future events or outcomes are forward-looking statements. Our actual results could differ materially from those discussed or suggested in the forward-looking statements herein. Factors that could cause or contribute to such differences include those described in Item 1A - Risk Factors of our Annual Report filed March 17, 2026. In addition, as a result of these and other factors, our past financial performance should not be relied on as an indication of future performance. All forward-looking statements in this document are based on information available to us as of the filing date of this Quarterly Report and we assume no obligation to update any forward-looking statements or the reasons why our actual results may differ. See also the Cautionary Note Regarding Forward-Looking Statements in the forepart of this Quarterly Report.</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Unless otherwise indicated or the context otherwise requires, references included in this Management’s Discussion and Analysis of Financial Condition and Results of Operations section to “Fold,” “we,” “us,” “our,” and the “Company” refer to the business of Fold, Inc., a Delaware corporation, prior to the Closing of the Merger, and Fold Holdings, Inc. after the Closing of the Merger. For any given valuation of bitcoin used herein, unless otherwise indicated, we use the market price of bitcoin on the Coinbase exchange at 11:59:59 pm UTC on the date stated.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Business overview</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Fold Holdings, Inc. is a financial services company that operates across both U.S. dollars and bitcoin, and is designed to connect these systems in a seamless manner. Fold’s consumer offerings include an FDIC-insured checking account, a Visa debit card (the "Fold Debit Card"), a Visa credit card (the "Fold Credit Card"), bill payment services, a bitcoin gift card, and an extensive catalog of merchant reward offers. The Company also offers various forms of bitcoin buying and selling with low-to-zero fees and insured custody. By integrating both dollars and bitcoin across traditional financial services, the Company aims to act as a key point of entry for consumers to engage with and integrate bitcoin into their everyday lives. The Company's products and services are available in the United States through the Fold App.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Since Fold was founded, we have sought to be a pioneer in bitcoin consumer financial services. In 2020, we partnered with Visa to launch the first ever bitcoin rewards debit card. In 2022, we launched a bitcoin trading and custody product and have since added a comprehensive suite of purchase options including spot buys, dollar-cost averaging, direct paycheck conversion, and round-ups. In 2024, we provided consumers the ability to “get on zero” - the ability to live primarily off of bitcoin instead of fiat currency - and we launched a rewards product for ACH payments that allows users to earn up to 1.5% back on paying mortgages, rent, and other bill payments. In May 2025, we released the Bitcoin Gift Card, one of the first of its kind to appear in physical retail networks across the country. In January 2026, we introduced the Employee Bitcoin Bonus program, which allows employers to offer bitcoin bonuses to their employee base and manage those assets through Fold, and announced Steak 'n Shake as our first partner for this program. In March 2026, we launched our bitcoin rewards credit card (the "Fold Credit Card") in partnership with Stripe and Visa. We expect to continue to innovate in the bitcoin consumer financial services space over the coming years.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new products and features, we have committed significant resources towards optimizing our business through design and user experience updates, refinement of our systems architecture, scaling our customer support services, expanding our rewards network, and adding strategic partnerships.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One of the foundational value propositions of bitcoin is trust and security. Over the years, many “crypto”-adjacent business models have failed to live up to those values, prioritizing short-term gains over their duties to customers. As a result, many of these companies suffered a combination of reputational damage, bankruptcy, litigation, and fines. Throughout our existence, Fold has been focused on ensuring the safety and security of our customer assets while also complying with regulatory guidance relevant to our business. We believe that a solid trust foundation is critical for continued user adoption and in building a positive brand image, both of which are crucial for our long-term success.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Recent developments</w:t>
      </w:r>
    </w:p>
    <w:p>
      <w:pPr>
        <w:pStyle w:val="TextBody"/>
        <w:pBdr>
          <w:top w:val="single" w:sz="6" w:space="1" w:color="000000"/>
        </w:pBdr>
        <w:bidi w:val="0"/>
        <w:jc w:val="center"/>
        <w:rPr>
          <w:rFonts w:ascii="Times New Roman" w:hAnsi="Times New Roman"/>
          <w:sz w:val="20"/>
        </w:rPr>
      </w:pPr>
      <w:r>
        <w:rPr>
          <w:rFonts w:ascii="Arial" w:hAnsi="Arial"/>
          <w:color w:val="000000"/>
          <w:sz w:val="16"/>
        </w:rPr>
        <w:t>- 28</w:t>
      </w:r>
      <w:r>
        <w:rPr>
          <w:rFonts w:ascii="Times New Roman" w:hAnsi="Times New Roman"/>
          <w:color w:val="000000"/>
          <w:sz w:val="20"/>
        </w:rPr>
        <w:t xml:space="preserve"> </w:t>
      </w:r>
      <w:r>
        <w:rPr>
          <w:rFonts w:ascii="Arial" w:hAnsi="Arial"/>
          <w:color w:val="000000"/>
          <w:sz w:val="16"/>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June 2025, the Company entered into an agreement for a $250 million equity purchase facility (“Facility”). Pursuant to the Facility, the Company, in its sole discretion, has the right, but not the obligation, to issue and sell up to $250 million in newly issued shares of the Company’s Common Stock, subject to certain conditions. The Company expects that any proceeds received by it from the Facility will be used for, without limitation, working capital and general corporate purposes. If and when the Company elects to sell shares of Common Stock to the investor pursuant to the Facility, the investor may resell all, some or none of such shares of Common Stock in its discretion and at prices subject to the terms of the Facility. Actual sales of shares of Common Stock under the Facility will depend on a variety of factors to be determined by the Company from time to time, which may include, without limitation, market conditions, the trading price of the Common Stock and determinations by the Company as to the appropriate sources of funding for its business and operational needs. The Facility terminates automatically on June 16, 2027 with an option for early termination by the Company. As of June 30, 2026, the Company had sold 5.82 million shares of Common Stock pursuant to the Facility for gross proceeds of $7.5 million, and recognized $0.2 million of amortization related to deferred issuance costs. Refer to Note 10 for further information.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January 2026, we introduced the Employee Bitcoin Bonus program, which allows participating employers to offer bitcoin bonuses to their employee base and manage those assets through Fold, and announced Steak 'n Shake as our first partner for this program. Revenue and operating results from the Employee Bitcoin Bonus program were not material during the six months ended June 30, 2026.</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On February 25, 2026, the Company entered into a Purchase Agreement (the "Purchase Agreement") with SATS Credit Fund L.P. ("SATS"), an affiliate of the Company's lead director. Pursuant to the Purchase Agreement, SATS purchased from the Company a $13.0 million senior unsecured promissory note (the "February 2026 Investor Note") and the Company issued to SATS 520,000 shares of Common Stock as additional consideration.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On February 26, 2026, the Company repaid and extinguished the March 2025 Investor Note by transferring the 500 bitcoin held as collateral in full satisfaction of all outstanding obligations thereunder. On February 27, 2026, the Company repaid the June 2025 Amended Investor Note with a cash payment of $27.5 million. Following these transactions, the Company no longer has any outstanding convertible notes. Refer to Note 9 for further information regarding these transactions.</w:t>
      </w:r>
    </w:p>
    <w:p>
      <w:pPr>
        <w:pStyle w:val="TextBody"/>
        <w:bidi w:val="0"/>
        <w:jc w:val="both"/>
        <w:rPr>
          <w:rFonts w:ascii="Times New Roman" w:hAnsi="Times New Roman"/>
          <w:color w:val="000000"/>
          <w:sz w:val="20"/>
        </w:rPr>
      </w:pPr>
      <w:r>
        <w:rPr>
          <w:rFonts w:ascii="Times New Roman" w:hAnsi="Times New Roman"/>
          <w:color w:val="000000"/>
          <w:sz w:val="20"/>
        </w:rPr>
        <w:t xml:space="preserve">In March 2026, we launched the Fold Credit Card on a limited basis, and we plan to continue to roll out this card to a larger customer base over the coming quarters. Revenue from the credit card program was not material during the six months ended June 30, 2026.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June 2026, the Company sold approximately 632 bitcoin from its Investment Treasury for proceeds of $44.7 million, of which $20.0 million was used to repay in full the outstanding balance under the Company's revolving credit facility with Two Prime Lending Limited (the "Credit Facility"), and the remaining $24.7 million was retained as unrestricted cash for general corporate purposes. As of June 30, 2026, no amounts were outstanding under the Credit Facility and no bitcoin was held as collateral. Refer to Note 9 for further information.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July 14, 2026, the Company received a deficiency from Nasdaq indicating the Company is out of compliance with Nasdaq Rule 5550(a)(2), which requires the Company's minimum bid price to remain at least $1.00 per share. Accordingly, the Board has authorized management to seek shareholder approval for a reverse stock split to cure the deficiency, as described further in Note 17 to the Financial Statements. </w:t>
      </w:r>
    </w:p>
    <w:p>
      <w:pPr>
        <w:pStyle w:val="TextBody"/>
        <w:bidi w:val="0"/>
        <w:spacing w:before="360" w:after="120"/>
        <w:jc w:val="both"/>
        <w:rPr>
          <w:rFonts w:ascii="Times New Roman" w:hAnsi="Times New Roman"/>
          <w:b/>
          <w:color w:val="000000"/>
          <w:sz w:val="20"/>
        </w:rPr>
      </w:pPr>
      <w:r>
        <w:rPr>
          <w:rFonts w:ascii="Times New Roman" w:hAnsi="Times New Roman"/>
          <w:b/>
          <w:color w:val="000000"/>
          <w:sz w:val="20"/>
        </w:rPr>
        <w:t>Looking ahead</w:t>
      </w:r>
    </w:p>
    <w:p>
      <w:pPr>
        <w:pStyle w:val="TextBody"/>
        <w:bidi w:val="0"/>
        <w:jc w:val="both"/>
        <w:rPr>
          <w:rFonts w:ascii="Times New Roman" w:hAnsi="Times New Roman"/>
          <w:color w:val="000000"/>
          <w:sz w:val="20"/>
        </w:rPr>
      </w:pPr>
      <w:r>
        <w:rPr>
          <w:rFonts w:ascii="Times New Roman" w:hAnsi="Times New Roman"/>
          <w:color w:val="000000"/>
          <w:sz w:val="20"/>
        </w:rPr>
        <w:t xml:space="preserve">Fold has a proven track record of launching products that enhance engagement with our current customers and attract new customers to our platform. We intend to continue to build on this success by expanding our existing offerings to further engage our existing users, and we expect to introduce new products to attract new customers. Here is how we intend to continue our momentum: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Product strategy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highlighted above, we have successfully launched several new product lines during the last twelve months: (1) the Fold Bitcoin Gift Card, (2) the Employee Bitcoin Bonus program, and (3) the Fold Credit Card. We expect these products to continue to expand to more users and to collectively drive higher volumes, revenues, and margins, and we also expect them to both drive new user acquisition and contribute to deeper engagement within the Fold ecosystem. Over the course of the next few quarters we will continue to explore opportunities to add new consumer financial services that complement and enhance our current offerings.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timing, execution, and effectiveness of our product and feature releases will impact our ability to meet financial targets for 2026 and beyond; however, we expect that each of these releases will further enhance our existing market position and drive increased volumes across the platform.</w:t>
      </w:r>
    </w:p>
    <w:p>
      <w:pPr>
        <w:pStyle w:val="TextBody"/>
        <w:pBdr>
          <w:top w:val="single" w:sz="6" w:space="1" w:color="000000"/>
        </w:pBdr>
        <w:bidi w:val="0"/>
        <w:jc w:val="center"/>
        <w:rPr>
          <w:rFonts w:ascii="Times New Roman" w:hAnsi="Times New Roman"/>
          <w:sz w:val="20"/>
        </w:rPr>
      </w:pPr>
      <w:r>
        <w:rPr>
          <w:rFonts w:ascii="Arial" w:hAnsi="Arial"/>
          <w:color w:val="000000"/>
          <w:sz w:val="16"/>
        </w:rPr>
        <w:t>- 29</w:t>
      </w:r>
      <w:r>
        <w:rPr>
          <w:rFonts w:ascii="Times New Roman" w:hAnsi="Times New Roman"/>
          <w:color w:val="000000"/>
          <w:sz w:val="20"/>
        </w:rPr>
        <w:t xml:space="preserve"> </w:t>
      </w:r>
      <w:r>
        <w:rPr>
          <w:rFonts w:ascii="Arial" w:hAnsi="Arial"/>
          <w:color w:val="000000"/>
          <w:sz w:val="16"/>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Growth strategy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our product strategy, we intend to grow our customer base, transaction volume, and revenues through increased investment into organic and paid marketing channels that have proven successful to-date.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Fold intends to continue to leverage our social media channels and customer referral program to drive growth via organic channels which have been our primary growth channels to date. In addition, to further accelerate growth, we intend to increase investments in paid marketing and affiliate opportunities in conjunction with key product rollouts.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While we expect our existing products to benefit from this growth strategy, we also expect new products like the Fold Credit Card, the Fold Bitcoin Gift Card, and the Employee Bitcoin Bonus program to create synergies across product lines and attract new users who are looking for a more comprehensive suite of financial products. </w:t>
      </w:r>
    </w:p>
    <w:p>
      <w:pPr>
        <w:pStyle w:val="TextBody"/>
        <w:bidi w:val="0"/>
        <w:spacing w:before="360" w:after="283"/>
        <w:jc w:val="both"/>
        <w:rPr>
          <w:rFonts w:ascii="Times New Roman" w:hAnsi="Times New Roman"/>
          <w:sz w:val="20"/>
        </w:rPr>
      </w:pPr>
      <w:r>
        <w:rPr>
          <w:rFonts w:ascii="Times New Roman" w:hAnsi="Times New Roman"/>
          <w:b/>
          <w:color w:val="000000"/>
          <w:sz w:val="20"/>
        </w:rPr>
        <w:t>Bitcoin treasury strategy</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June 30, 2026, we held approximately 271 BTC in our bitcoin treasury which had a market value of $15.9 million on June 30, 2026, which was approximately $58.5 thousand per bitcoin.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Fold’s purpose for holding bitcoin in treasury is twofold: (1) to fulfill bitcoin rewards to customers in accordance with the terms and conditions of Fold’s user agreements (“Rewards Treasury”); and (2) as a treasury asset to support our operating business with the option to hold it as a near- to long-term investment to preserve potential upside in the value of that bitcoin (“Investment Treasury”). The following is a summary of Fold’s bitcoin held in treasury as of the dates shown:</w:t>
      </w:r>
    </w:p>
    <w:p>
      <w:pPr>
        <w:pStyle w:val="TextBody"/>
        <w:bidi w:val="0"/>
        <w:jc w:val="both"/>
        <w:rPr/>
      </w:pPr>
      <w:r>
        <w:rPr/>
        <w:t> </w:t>
      </w:r>
    </w:p>
    <w:tbl>
      <w:tblPr>
        <w:tblW w:w="6045" w:type="dxa"/>
        <w:jc w:val="left"/>
        <w:tblInd w:w="0" w:type="dxa"/>
        <w:tblLayout w:type="fixed"/>
        <w:tblCellMar>
          <w:top w:w="28" w:type="dxa"/>
          <w:left w:w="28" w:type="dxa"/>
          <w:bottom w:w="28" w:type="dxa"/>
          <w:right w:w="28" w:type="dxa"/>
        </w:tblCellMar>
      </w:tblPr>
      <w:tblGrid>
        <w:gridCol w:w="2416"/>
        <w:gridCol w:w="146"/>
        <w:gridCol w:w="215"/>
        <w:gridCol w:w="1060"/>
        <w:gridCol w:w="146"/>
        <w:gridCol w:w="146"/>
        <w:gridCol w:w="269"/>
        <w:gridCol w:w="1456"/>
        <w:gridCol w:w="191"/>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Rewards treasury (USD)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4,504,290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6,872,869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treasury (USD)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11,356,023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133,658,791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1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bitcoin treasury (USD)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15,860,313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140,531,660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20"/>
        <w:jc w:val="both"/>
        <w:rPr/>
      </w:pPr>
      <w:r>
        <w:rPr/>
        <w:t> </w:t>
      </w:r>
    </w:p>
    <w:tbl>
      <w:tblPr>
        <w:tblW w:w="6060" w:type="dxa"/>
        <w:jc w:val="left"/>
        <w:tblInd w:w="0" w:type="dxa"/>
        <w:tblLayout w:type="fixed"/>
        <w:tblCellMar>
          <w:top w:w="28" w:type="dxa"/>
          <w:left w:w="28" w:type="dxa"/>
          <w:bottom w:w="28" w:type="dxa"/>
          <w:right w:w="28" w:type="dxa"/>
        </w:tblCellMar>
      </w:tblPr>
      <w:tblGrid>
        <w:gridCol w:w="2431"/>
        <w:gridCol w:w="146"/>
        <w:gridCol w:w="328"/>
        <w:gridCol w:w="947"/>
        <w:gridCol w:w="146"/>
        <w:gridCol w:w="146"/>
        <w:gridCol w:w="350"/>
        <w:gridCol w:w="1375"/>
        <w:gridCol w:w="191"/>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Rewards treasury (BTC)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treasury (BTC)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bitcoin treasury (BTC)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treasury strategy contemplates that we may (i) periodically sell bitcoin for general corporate purposes to support our operating business, (ii) pledge or commit a portion of our bitcoin as collateral for purposes of entering into financing transactions, (iii) utilize our bitcoin as reserve collateral for various products used in our operating business, and/or (iv) consider opportunities to create income streams or otherwise generate funds using our bitcoin holdings. We may from time to time identify and/or implement additional strategies to more effectively utilize our Investment Treasury to support our overall business. Until such time that we consider it appropriate to utilize our bitcoin in one of those ways, we intend to hold bitcoin as a near- to long-term investment to preserve potential upside in the value of that bitcoin.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February 2026, the Company sold 200 bitcoin for $14.4 million, or approximately $71.9 thousand per bitcoin, and repaid the March 2025 Investor Note by returning the 500 bitcoin that were previously reserved as collateral against that note. In June 2026, the Company sold 632 bitcoin for $44.7 million, or approximately $70.8 thousand per bitcoin, of which $20.0 million of the proceeds was used to repay in full the outstanding balance under the Credit Facility. As of June 30, 2026, no amounts were outstanding and no bitcoin was held as collateral under the Credit Facility. Refer to Note 9 for further information regarding these financing transactions. We may execute additional bitcoin sales based on market conditions and business requirements as part of our treasury management operations.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Key operating metrics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collect and analyze operating and financial data to evaluate the health of our business, allocate our resources, and assess our performance. In addition to certain GAAP metrics, we also monitor various non-GAAP measures to evaluate our business. We believe the following metrics and measures are useful to facilitate period-to-period comparisons of our business and to facilitate comparisons of our performance to that of other financial service providers. Where applicable we have provided definitions of metrics we consider key to our operations below.</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Verified Accounts</w:t>
      </w:r>
    </w:p>
    <w:p>
      <w:pPr>
        <w:pStyle w:val="TextBody"/>
        <w:pBdr>
          <w:top w:val="single" w:sz="6" w:space="1" w:color="000000"/>
        </w:pBdr>
        <w:bidi w:val="0"/>
        <w:jc w:val="center"/>
        <w:rPr>
          <w:rFonts w:ascii="Times New Roman" w:hAnsi="Times New Roman"/>
          <w:sz w:val="20"/>
        </w:rPr>
      </w:pPr>
      <w:r>
        <w:rPr>
          <w:rFonts w:ascii="Arial" w:hAnsi="Arial"/>
          <w:color w:val="000000"/>
          <w:sz w:val="16"/>
        </w:rPr>
        <w:t>- 30</w:t>
      </w:r>
      <w:r>
        <w:rPr>
          <w:rFonts w:ascii="Times New Roman" w:hAnsi="Times New Roman"/>
          <w:color w:val="000000"/>
          <w:sz w:val="20"/>
        </w:rPr>
        <w:t xml:space="preserve"> </w:t>
      </w:r>
      <w:r>
        <w:rPr>
          <w:rFonts w:ascii="Arial" w:hAnsi="Arial"/>
          <w:color w:val="000000"/>
          <w:sz w:val="16"/>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Verified Accounts represent users who have gone through Know Your Customer (“KYC”) verification to participate in our banking and exchange products. These users represent Fold's highest potential value customers as they have passed through the verification necessary to participate in all of our core product lines.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During the three months ended June 30, 2026, we added over 1,000 Verified Accounts, bringing total Verified Accounts to over 87,000.</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Transaction Volumes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Transaction Volume is inclusive of deposits, spend, and withdrawals across our platform and are inclusive of both fiat (“USD”) and bitcoin (“BTC”) transaction volumes. We consider Transaction Volume a key operating metric as the majority of our revenues are derived from these volumes.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From inception through June 30, 2026, Fold processed over $3.8 billion in Transaction Volume through our platform. For the three months ended June 30, 2026, we averaged nearly $55 million in Transaction Volume per month.</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Key components of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Banking and payments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Fold is a financial services platform and not a chartered bank. Our banking and payments revenues consist of revenues received from our Fold Debit Card and related product features, including: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Fold+ Subscriptions:</w:t>
      </w:r>
      <w:r>
        <w:rPr>
          <w:color w:val="000000"/>
        </w:rPr>
        <w:t xml:space="preserve"> </w:t>
      </w:r>
      <w:r>
        <w:rPr>
          <w:rFonts w:ascii="Times New Roman" w:hAnsi="Times New Roman"/>
          <w:color w:val="000000"/>
          <w:sz w:val="20"/>
        </w:rPr>
        <w:t>Fold’s premium membership tier, called “Fold+”, offers users reduced or no fees on eligible products, higher rewards, and access to limited features. Fold+ costs $100/year or $10/month depending on the customer’s payment frequency selection. As announced January 27, 2026, we intend to eliminate the fees for the Fold+ subscription during fiscal year 2026 as part of the larger rollout of our Fold Credit Card.</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Interchange:</w:t>
      </w:r>
      <w:r>
        <w:rPr>
          <w:color w:val="000000"/>
        </w:rPr>
        <w:t xml:space="preserve"> </w:t>
      </w:r>
      <w:r>
        <w:rPr>
          <w:rFonts w:ascii="Times New Roman" w:hAnsi="Times New Roman"/>
          <w:color w:val="000000"/>
          <w:sz w:val="20"/>
        </w:rPr>
        <w:t>Each time a Fold user makes a payment using their Fold Debit Card, Fold earns a share of the total interchange fee charged on that transaction. Interchange fees are set by the card network (Visa) and charged as a percentage of the total sale. The amount of interchange earned by Fold is dependent on a wide variety of factors, including whether the transaction is processed in- or out-of-network, the merchant and their assigned merchant category code (“MCC Code”), and the type of purchase being made (signature v PIN debit transaction), among other variables. Interchange rates are subject to change by the card network (Visa) at any time.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Transaction Fees: </w:t>
      </w:r>
      <w:r>
        <w:rPr>
          <w:rFonts w:ascii="Times New Roman" w:hAnsi="Times New Roman"/>
          <w:color w:val="000000"/>
          <w:sz w:val="20"/>
        </w:rPr>
        <w:t xml:space="preserve">Certain fees are charged to our cardholders depending on their membership tier or the nature of the transaction. These fees primarily include instant transfer fees, international transaction fees, and ATM fees. These fees are stated either as a percentage of each transaction or as a fixed dollar amount depending on the nature of the transaction.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Merchant Offers:</w:t>
      </w:r>
      <w:r>
        <w:rPr>
          <w:color w:val="000000"/>
        </w:rPr>
        <w:t xml:space="preserve"> </w:t>
      </w:r>
      <w:r>
        <w:rPr>
          <w:rFonts w:ascii="Times New Roman" w:hAnsi="Times New Roman"/>
          <w:color w:val="000000"/>
          <w:sz w:val="20"/>
        </w:rPr>
        <w:t>Fold partners with a number of merchant offer wholesalers and individual merchants to offer gift cards, card-linked offers, and other affiliate offers. Fold has established an extensive partnership network across multiple vendors to provide customers with numerous and high quality merchant offers, and we regularly add new partnerships to optimize our offers network. For accounting purposes, the Company is the principal in gift card transactions and therefore recognizes (1) gross revenues for the sales price of the gift card to the customer, and (2) gross costs of sales for the cost of each gift card sold. Our merchant offers revenue is subject to seasonality and is typically higher around major shopping periods (ex. Amazon Prime Day) and in the fourth quarter, driven by holiday spending and travel.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notes that the above categories of revenue are combined into Banking and Payments given their interconnected nature. For example, nearly all merchant offers are purchased in relation to a Fold Debit Card transaction or by Fold Debit Card holders. In addition, Fold primarily incentivizes users to sign up for its Fold+ subscription by reducing transaction fees and increasing rewards on Fold Debit Card transactions as well as by providing access to exclusive merchant offers. While Fold assesses each of these revenue streams separately for revenue recognition purposes, they all derive primarily from Fold Debit Card transactions which are funded by user accounts at Sutton Bank.</w:t>
      </w:r>
    </w:p>
    <w:p>
      <w:pPr>
        <w:pStyle w:val="TextBody"/>
        <w:pBdr>
          <w:top w:val="single" w:sz="6" w:space="1" w:color="000000"/>
        </w:pBdr>
        <w:bidi w:val="0"/>
        <w:jc w:val="center"/>
        <w:rPr>
          <w:rFonts w:ascii="Times New Roman" w:hAnsi="Times New Roman"/>
          <w:sz w:val="20"/>
        </w:rPr>
      </w:pPr>
      <w:r>
        <w:rPr>
          <w:rFonts w:ascii="Arial" w:hAnsi="Arial"/>
          <w:color w:val="000000"/>
          <w:sz w:val="16"/>
        </w:rPr>
        <w:t>- 31</w:t>
      </w:r>
      <w:r>
        <w:rPr>
          <w:rFonts w:ascii="Times New Roman" w:hAnsi="Times New Roman"/>
          <w:color w:val="000000"/>
          <w:sz w:val="20"/>
        </w:rPr>
        <w:t xml:space="preserve"> </w:t>
      </w:r>
      <w:r>
        <w:rPr>
          <w:rFonts w:ascii="Arial" w:hAnsi="Arial"/>
          <w:color w:val="000000"/>
          <w:sz w:val="16"/>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Custody and trading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Fold partnered with BitGo Bank &amp; Trust, National Association (f/k/a BitGo Trust Company, Inc.), a federally chartered national trust bank (“BitGo”) (our “Exchange Provider”) to offer eligible customers the ability to buy, sell, store, insure, and withdraw bitcoin using the Fold App via an “Exchange Account.” Fold earns revenue on these transactions via a combination of transaction fees and transaction spreads. Spreads on trades include two components: (1) spreads charged by our Exchange Provider, which include any spreads passed on by their liquidity providers, and (2) Fold’s spread. For customers that do not have a Fold+ subscription, Fold also adds a transaction fee to certain buy and sell transactions as outlined in our terms and conditions, which can change from time to time. Transaction fees are stated as a percentage of the purchase or sale amount (i.e. 1.5%).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revenues from the Fold Bitcoin Gift Card are included within this revenue line, as that product is effectively an alternative method of selling bitcoin. For accounting purposes, the Company is the principal in these transactions and therefore recognizes (1) gross revenues for the sales price of the gift card to the customer, and (2) gross costs of sales for the cost of each gift card sold.</w:t>
      </w:r>
    </w:p>
    <w:p>
      <w:pPr>
        <w:pStyle w:val="TextBody"/>
        <w:bidi w:val="0"/>
        <w:spacing w:before="360" w:after="283"/>
        <w:jc w:val="both"/>
        <w:rPr>
          <w:rFonts w:ascii="Times New Roman" w:hAnsi="Times New Roman"/>
          <w:sz w:val="20"/>
        </w:rPr>
      </w:pPr>
      <w:r>
        <w:rPr>
          <w:rFonts w:ascii="Times New Roman" w:hAnsi="Times New Roman"/>
          <w:i/>
          <w:color w:val="000000"/>
          <w:sz w:val="20"/>
        </w:rPr>
        <w:t>Other revenue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occasionally earn revenues from alternate sources, including Fold merchandise sales, sponsorship revenues, affiliate revenues, and other one-off revenue models. These revenues are typically non-recurring and are not currently material to our business.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for the three and six months ended June 30, 2026, revenues from the Fold Credit Card are included within this revenue line, as that product has launched on a limited basis and related revenues are not yet material to our business. As the Fold Credit Card program grows, we expect to present its revenues as a separate revenue category in future periods.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Revenue Rewards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Users can earn bitcoin rewards by engaging in qualifying revenue-generating activities. "Revenue Rewards" are defined as rewards that are earned in direct relation to a qualifying spend transaction, such as spending on the Fold Debit Card, spending on the Fold Credit Card, purchasing bitcoin, purchasing merchant offers, and so on. "Marketing Rewards" are defined as rewards that are earned for behaviors unrelated to qualifying spend transactions such as sign-up bonuses, referral bonuses, spinning the daily spin wheel, etc. For accounting purposes, any reward that derives from a transaction where Fold receives revenue constitutes a Revenue Reward, whereas all other rewards constitute Marketing Rewards. Marketing Rewards are recorded as a marketing expense within operating expenses.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Revenue Rewards constitute a “non-revenue element” of our contracts with customers and are accounted for under ASC 815 – Derivatives and Hedging. Under that guidance, for all applicable revenue streams, Revenue Rewards are recorded as a direct reduction in the transaction price of the related revenue earned (i.e. we reduce interchange revenue by the amount of rewards earned by customers when completing qualifying spend transactions).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All rewards are earned immediately upon the performance of a qualifying action by the user, but not all rewards are immediately available for redemption. The redemption criteria for rewards varies by the type of qualifying action or transaction as outlined in the terms and conditions of the Fold Rewards Program. For example, rewards earned on the daily spin wheel are available for redemption immediately, while rewards earned via certain qualifying spend transactions on the Fold Debit Card and Fold Credit Card are subject to a 30-day settlement period before becoming available for redemption, a policy that is in place to prevent fraudulent activities.</w:t>
      </w:r>
    </w:p>
    <w:p>
      <w:pPr>
        <w:pStyle w:val="TextBody"/>
        <w:bidi w:val="0"/>
        <w:jc w:val="left"/>
        <w:rPr>
          <w:rFonts w:ascii="Times New Roman" w:hAnsi="Times New Roman"/>
          <w:color w:val="000000"/>
          <w:sz w:val="20"/>
        </w:rPr>
      </w:pPr>
      <w:r>
        <w:rPr>
          <w:rFonts w:ascii="Times New Roman" w:hAnsi="Times New Roman"/>
          <w:color w:val="000000"/>
          <w:sz w:val="20"/>
        </w:rPr>
        <w:br/>
        <w:t>The Company accrues Revenue Rewards within ‘Customer rewards liability’ in our accompanying balance sheets at the time the Revenue Reward is earned. The liability is initially recorded at the fair value of the bitcoin earned upon the action by the user and subsequently marked to fair value until redeemed or reversed, with gains and losses on this liability recorded within 'Gain (Loss) on customer rewards liability' in our accompanying statements of operations. The liability is derecognized when the Revenue Reward is redeemed by the user and delivered to the user's bitcoin wallet.</w:t>
        <w:br/>
        <w:t> </w:t>
      </w:r>
    </w:p>
    <w:p>
      <w:pPr>
        <w:pStyle w:val="TextBody"/>
        <w:bidi w:val="0"/>
        <w:jc w:val="both"/>
        <w:rPr>
          <w:rFonts w:ascii="Times New Roman" w:hAnsi="Times New Roman"/>
          <w:color w:val="000000"/>
          <w:sz w:val="20"/>
        </w:rPr>
      </w:pPr>
      <w:r>
        <w:rPr>
          <w:rFonts w:ascii="Times New Roman" w:hAnsi="Times New Roman"/>
          <w:color w:val="000000"/>
          <w:sz w:val="20"/>
        </w:rPr>
        <w:t>Per the terms and conditions of the Fold Rewards Program, rewards are subject to adjustment for chargebacks, returns, refunds, or other circumstances. In addition, rewards are subject to expiry if users fail to maintain an active account for more than twelve consecutive months. The Company estimates the amount of rewards that will expire based on historical data, current user trends, and other factors and accrues for those amounts in the period those rewards were earned.</w:t>
      </w:r>
    </w:p>
    <w:p>
      <w:pPr>
        <w:pStyle w:val="TextBody"/>
        <w:bidi w:val="0"/>
        <w:spacing w:before="360" w:after="283"/>
        <w:jc w:val="both"/>
        <w:rPr>
          <w:rFonts w:ascii="Times New Roman" w:hAnsi="Times New Roman"/>
          <w:sz w:val="20"/>
        </w:rPr>
      </w:pPr>
      <w:r>
        <w:rPr>
          <w:rFonts w:ascii="Times New Roman" w:hAnsi="Times New Roman"/>
          <w:i/>
          <w:color w:val="000000"/>
          <w:sz w:val="20"/>
        </w:rPr>
        <w:t>Sales returns and allowances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revenue is recognized net of sales returns and allowances, when applicable, which arise from time to time for various reasons. Returns and allowances have been primarily related to merchant offers and have historically been immaterial to our business.</w:t>
      </w:r>
    </w:p>
    <w:p>
      <w:pPr>
        <w:pStyle w:val="TextBody"/>
        <w:pBdr>
          <w:top w:val="single" w:sz="6" w:space="1" w:color="000000"/>
        </w:pBdr>
        <w:bidi w:val="0"/>
        <w:jc w:val="center"/>
        <w:rPr>
          <w:rFonts w:ascii="Times New Roman" w:hAnsi="Times New Roman"/>
          <w:sz w:val="20"/>
        </w:rPr>
      </w:pPr>
      <w:r>
        <w:rPr>
          <w:rFonts w:ascii="Arial" w:hAnsi="Arial"/>
          <w:color w:val="000000"/>
          <w:sz w:val="16"/>
        </w:rPr>
        <w:t>- 32</w:t>
      </w:r>
      <w:r>
        <w:rPr>
          <w:rFonts w:ascii="Times New Roman" w:hAnsi="Times New Roman"/>
          <w:color w:val="000000"/>
          <w:sz w:val="20"/>
        </w:rPr>
        <w:t xml:space="preserve"> </w:t>
      </w:r>
      <w:r>
        <w:rPr>
          <w:rFonts w:ascii="Arial" w:hAnsi="Arial"/>
          <w:color w:val="000000"/>
          <w:sz w:val="16"/>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expenses consist of the costs to satisfy our performance obligations to our customers; compensation and benefits; marketing expenses; professional fees; amortization of capitalized software development costs; and other selling, general, and administrative expenses.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Banking and payments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Banking and payments costs include direct costs related to licensing, servicing, and processing transactions within our banking and payments products, including costs related to our Fold Debit Card and merchant offers. For accounting purposes, the Company is the principal in gift card transactions and therefore recognizes (1) gross revenues for the sales price of the gift card to the customer, and (2) gross costs of sales for the cost of each gift card sold.</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Custody and trading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Custody and trading costs consist primarily of licensing, servicing, and custodial fees related to our bitcoin exchange product. Some custody and trading costs scale in proportion to our volumes.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custody and trading costs include costs related to our Fold Bitcoin Gift Card. For accounting purposes, the Company is the principal in these transactions and therefore recognizes (1) gross revenues for the sales price of the gift card to the customer, and (2) gross costs of sales for the cost of each gift card sold.</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Compensation and benefits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Compensation and benefits expenses primarily consist of salaries and wages, employee insurance expenses, share-based compensation, and other payroll benefits related to full time employees.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Marketing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Marketing expenses consist of costs incurred to promote the Company's products and services, increase brand awareness, and drive sales. These expenses include paid advertising and growth initiatives such as digital campaigns, events and sponsorships, agency and content production, and press and public relations expenses, among others.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as described above, a portion of marketing expenses are Marketing Rewards. The Company accrues Marketing Rewards within ‘Customer rewards liability’ in our accompanying balance sheets at the time the Marketing Reward is earned, with the corresponding expense recorded within marketing expenses in our statements of operations. The liability is initially recorded at the fair value of the bitcoin earned upon the action by the user and subsequently marked to fair value, with gains and losses on this liability recorded within 'Gain (Loss) on customer rewards liability' in our accompanying statements of operations. The liability is derecognized when the reward is claimed by the user and delivered to the user's external bitcoin wallet.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Per the terms and conditions of the Fold Rewards Program, rewards are subject to adjustment for chargebacks, returns, refunds, or other circumstances. In addition, rewards are subject to expiry if users fail to maintain an active account for more than twelve consecutive months. The Company estimates the amount of rewards that will expire based on historical data, current user trends, and other factors and accrues for those amounts in the period those rewards were earned. These accruals are accounted for as a contra-expense within marketing expense for Marketing Rewards.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Professional fees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Professional fees consist primarily of expenses related to fees paid for services, including legal, tax, accounting, and audit services.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Gain (loss) on customer rewards liability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Gain (loss) on customer rewards liability includes components of unrealized gains (losses) resulting from the remeasurement in fair value of Revenue Rewards and Marketing Rewards denominated in bitcoin in the current reporting period, as well as realized gains (losses) that occur upon the fulfillment of Rewards. Management has determined that gains or losses on digital assets held for purposes of fulfilling Rewards are related to its core operations, and therefore classifies all gains and losses on the remeasurement of this liability as an operating income or expense in its financial statements.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Gain (loss) on digital assets - rewards treasury</w:t>
      </w:r>
    </w:p>
    <w:p>
      <w:pPr>
        <w:pStyle w:val="TextBody"/>
        <w:pBdr>
          <w:top w:val="single" w:sz="6" w:space="1" w:color="000000"/>
        </w:pBdr>
        <w:bidi w:val="0"/>
        <w:jc w:val="center"/>
        <w:rPr>
          <w:rFonts w:ascii="Times New Roman" w:hAnsi="Times New Roman"/>
          <w:sz w:val="20"/>
        </w:rPr>
      </w:pPr>
      <w:r>
        <w:rPr>
          <w:rFonts w:ascii="Arial" w:hAnsi="Arial"/>
          <w:color w:val="000000"/>
          <w:sz w:val="16"/>
        </w:rPr>
        <w:t>- 33</w:t>
      </w:r>
      <w:r>
        <w:rPr>
          <w:rFonts w:ascii="Times New Roman" w:hAnsi="Times New Roman"/>
          <w:color w:val="000000"/>
          <w:sz w:val="20"/>
        </w:rPr>
        <w:t xml:space="preserve"> </w:t>
      </w:r>
      <w:r>
        <w:rPr>
          <w:rFonts w:ascii="Arial" w:hAnsi="Arial"/>
          <w:color w:val="000000"/>
          <w:sz w:val="16"/>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Gain (loss) on digital assets - rewards treasury includes components of unrealized gains (losses) resulting from the remeasurement in fair value of bitcoin held by Fold in our Rewards Treasury in the current reporting period as well as realized gains (losses) that occur upon the fulfillment of Rewards. Management has determined that gains or losses on digital assets held for the purposes of rewards redemptions are related to its core operations, and therefore classifies all gains and losses on the remeasurement of these digital assets as an operating income or expense in its financial statements.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Other selling, 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selling, general and administrative expenses consist primarily of costs associated with contract labor, computer and internet, insurance, customer support costs, dues and subscriptions, and travel.</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Gain (loss) on digital assets - investment treasury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Gain (loss) on digital assets - investment treasury includes components of unrealized gains (losses) resulting from the remeasurement in fair value of bitcoin held by Fold with the intention to hold as a long-term investment in the current reporting period. Management has determined that gains or losses on digital assets held as a long-term investment are not related to its core operations, and therefore classifies all gains and losses on the remeasurement of these digital assets as a non-operating income or expense in its financial statements.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Change in fair value of SAFEs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 in fair value of SAFEs resulted from unrealized gain or loss due to the remeasurement of outstanding SAFEs, which were classified as liabilities for accounting purposes. On February 14, 2025, upon Closing of the Merger, all SAFEs held by Fold Predecessor converted into Common Stock of Fold Holdings, Inc. No SAFEs remained outstanding subsequent to the Closing, and accordingly, no future fair value remeasurements will be recognized.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Change in fair value of convertible note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 in fair value of convertible note results from the fair value gain or loss related to the March 2025 Investor Note.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Legal settlements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Legal settlement expenses consist of costs associated with the settlement of litigation matters. These costs are non-recurring and do not relate to core ongoing operations.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Convertible note issuance costs and fees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Convertible note issuance costs and fees relate to the March 2025 SPA including the March 2025 Warrants and Closing Shares.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Loss on extinguishment of debt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Convertible note costs related to the extinguishment of the June 2025 Amended Investor Note and March 2025 Investor Note.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Interest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expense primarily consists of contractual interest and amortization of debt discounts, premiums, and issuance costs related to the Company's convertible notes, the February 2026 Investor Note and the Credit Facility.</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Other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income primarily consists of interest income earned on cash and cash equivalents and changes in the fair value of various instruments that are not material to our business.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Income tax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provision for income taxes consists primarily of federal, state and local tax. Our effective tax rate fluctuates from period to period due to changes in the mix of income and losses in jurisdictions with a wide range of tax rates, changes resulting from the amount of recorded valuation allowance, permanent differences between U.S. generally accepted accounting principles and local tax laws, and certain one-time items.</w:t>
      </w:r>
    </w:p>
    <w:p>
      <w:pPr>
        <w:pStyle w:val="TextBody"/>
        <w:pBdr>
          <w:top w:val="single" w:sz="6" w:space="1" w:color="000000"/>
        </w:pBdr>
        <w:bidi w:val="0"/>
        <w:jc w:val="center"/>
        <w:rPr>
          <w:rFonts w:ascii="Times New Roman" w:hAnsi="Times New Roman"/>
          <w:sz w:val="20"/>
        </w:rPr>
      </w:pPr>
      <w:r>
        <w:rPr>
          <w:rFonts w:ascii="Arial" w:hAnsi="Arial"/>
          <w:color w:val="000000"/>
          <w:sz w:val="16"/>
        </w:rPr>
        <w:t>- 34</w:t>
      </w:r>
      <w:r>
        <w:rPr>
          <w:rFonts w:ascii="Times New Roman" w:hAnsi="Times New Roman"/>
          <w:color w:val="000000"/>
          <w:sz w:val="20"/>
        </w:rPr>
        <w:t xml:space="preserve"> </w:t>
      </w:r>
      <w:r>
        <w:rPr>
          <w:rFonts w:ascii="Arial" w:hAnsi="Arial"/>
          <w:color w:val="000000"/>
          <w:sz w:val="16"/>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Results of operations for the three months ended June 30, 2026 and 2025</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Results of operations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15"/>
        <w:gridCol w:w="146"/>
        <w:gridCol w:w="211"/>
        <w:gridCol w:w="1036"/>
        <w:gridCol w:w="166"/>
        <w:gridCol w:w="146"/>
        <w:gridCol w:w="211"/>
        <w:gridCol w:w="1036"/>
        <w:gridCol w:w="166"/>
        <w:gridCol w:w="146"/>
        <w:gridCol w:w="211"/>
        <w:gridCol w:w="1096"/>
        <w:gridCol w:w="166"/>
        <w:gridCol w:w="146"/>
        <w:gridCol w:w="230"/>
        <w:gridCol w:w="761"/>
        <w:gridCol w:w="516"/>
      </w:tblGrid>
      <w:tr>
        <w:trPr/>
        <w:tc>
          <w:tcPr>
            <w:tcW w:w="38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6,089,909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8,175,926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(2,086,017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r>
      <w:tr>
        <w:trPr/>
        <w:tc>
          <w:tcPr>
            <w:tcW w:w="38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Banking and payments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5,108,245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7,682,621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(2,574,376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Custody and trading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3,790,067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3,676,657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620,923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1,255,832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1,270,345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loss on customer rewards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(745,598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2,071,505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(2,817,103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loss on digital assets - rewards treasury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(2,334,677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3,454,065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1,689,247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1,264,422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424,825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13,858,543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14,501,444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(642,901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(7,768,634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(6,325,518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(1,443,116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(loss) on digital assets - investment treasury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36,582,224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(36,477,057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convertible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(5,309,608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5,309,608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Legal settlements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(1,374,828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(1,374,828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NM(i)</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(9,612,199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9,612,199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(1,974,849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1,052,968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308,619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242,221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(1,882,923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19,751,966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(21,634,889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(9,651,557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13,426,448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(23,078,005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(9,651,557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13,425,567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(23,077,124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3"/>
        </w:rPr>
        <w:t>(i)</w:t>
      </w:r>
      <w:r>
        <w:rPr>
          <w:rFonts w:ascii="Times New Roman" w:hAnsi="Times New Roman"/>
          <w:color w:val="000000"/>
          <w:sz w:val="20"/>
        </w:rPr>
        <w:t xml:space="preserve"> Not meaningful ("NM")</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Revenue</w:t>
      </w:r>
    </w:p>
    <w:p>
      <w:pPr>
        <w:pStyle w:val="TextBody"/>
        <w:bidi w:val="0"/>
        <w:jc w:val="left"/>
        <w:rPr/>
      </w:pPr>
      <w:r>
        <w:rPr/>
        <w:t> </w:t>
      </w:r>
    </w:p>
    <w:tbl>
      <w:tblPr>
        <w:tblW w:w="8801" w:type="dxa"/>
        <w:jc w:val="left"/>
        <w:tblInd w:w="0" w:type="dxa"/>
        <w:tblLayout w:type="fixed"/>
        <w:tblCellMar>
          <w:top w:w="28" w:type="dxa"/>
          <w:left w:w="28" w:type="dxa"/>
          <w:bottom w:w="28" w:type="dxa"/>
          <w:right w:w="28" w:type="dxa"/>
        </w:tblCellMar>
      </w:tblPr>
      <w:tblGrid>
        <w:gridCol w:w="2896"/>
        <w:gridCol w:w="146"/>
        <w:gridCol w:w="211"/>
        <w:gridCol w:w="931"/>
        <w:gridCol w:w="166"/>
        <w:gridCol w:w="146"/>
        <w:gridCol w:w="211"/>
        <w:gridCol w:w="931"/>
        <w:gridCol w:w="166"/>
        <w:gridCol w:w="146"/>
        <w:gridCol w:w="211"/>
        <w:gridCol w:w="991"/>
        <w:gridCol w:w="166"/>
        <w:gridCol w:w="146"/>
        <w:gridCol w:w="255"/>
        <w:gridCol w:w="736"/>
        <w:gridCol w:w="346"/>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 stream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Banking and payments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5,293,820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7,921,556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(2,627,736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Custody and trading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772,379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530,779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Sales returns and allowances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6,089,909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8,175,926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(2,086,017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revenue for the three months ended June 30, 2026 decreased by $2.1 million, or 26%, to $6.1 million, compared to the net revenue of $8.2 million for the three months ended June 30, 2025. Those amounts are net of reductions in revenue related to Revenue Rewards totaling $0.4 million and $0.5 million for the three months ended June 30, 2026 and 2025,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decrease in revenues reflects the broader downturn in digital asset markets that began in the fourth quarter of 2025 and carried into the current period. Having reached an all-time high of approximately $126,000 in early October 2025, bitcoin reversed sharply as leverage liquidations, long-term holder distributions, and macroeconomic uncertainties drove prices down toward the $88,000 range by December 2025. The drawdown extended into the second quarter of 2026, with bitcoin falling further to a low of approximately $58,000, a decline of more than 50% from the peak. This significant contraction in bitcoin valuations had a direct impact on customer activity within our platform. Specifically, for the three months ended June 30, 2026, we averaged approximately $55 million in Transaction </w:t>
      </w:r>
    </w:p>
    <w:p>
      <w:pPr>
        <w:pStyle w:val="TextBody"/>
        <w:pBdr>
          <w:top w:val="single" w:sz="6" w:space="1" w:color="000000"/>
        </w:pBdr>
        <w:bidi w:val="0"/>
        <w:jc w:val="center"/>
        <w:rPr>
          <w:rFonts w:ascii="Times New Roman" w:hAnsi="Times New Roman"/>
          <w:sz w:val="20"/>
        </w:rPr>
      </w:pPr>
      <w:r>
        <w:rPr>
          <w:rFonts w:ascii="Arial" w:hAnsi="Arial"/>
          <w:color w:val="000000"/>
          <w:sz w:val="16"/>
        </w:rPr>
        <w:t>- 35</w:t>
      </w:r>
      <w:r>
        <w:rPr>
          <w:rFonts w:ascii="Times New Roman" w:hAnsi="Times New Roman"/>
          <w:color w:val="000000"/>
          <w:sz w:val="20"/>
        </w:rPr>
        <w:t xml:space="preserve"> </w:t>
      </w:r>
      <w:r>
        <w:rPr>
          <w:rFonts w:ascii="Arial" w:hAnsi="Arial"/>
          <w:color w:val="000000"/>
          <w:sz w:val="16"/>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Volume per month, compared to $57 million per month for the three months ended March 31, 2026, and $88 million per month for the three months ended June 30, 2025. Our volumes and revenue remain subject to ongoing bitcoin price volatility and broader macroeconomic conditions.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Banking and payments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primary driver behind decreased banking and payments revenues related to merchant offers within our banking and payments business. Net revenue from merchant offers decreased 36% from $7.5 million for the three months ended June 30, 2025 to $4.8 million for the three months ended June 30, 2026. This decrease in merchant offers revenues resulted primarily from the decrease in customer volumes noted above, as well as the Company's continued optimization of its merchant offers portfolio to prioritize higher-margin offers, which reduced overall transaction volumes while improving unit economics.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Excluding merchant offers, our net banking and payments revenues for the three months ended June 30, 2026 and three months ended June 30, 2025 were $0.5 million and $0.5 million, respectively.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Custody and trading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revenues from custody and trading increased by approximately $0.6 million from $0.2 million for the three months ended June 30, 2025 to $0.8 million for the three months ended June 30, 2026. We believe that custody and trading revenues will be an important growth driver for both volumes and revenues going forward and are working on refining our onboarding experience, our funding options, our systems architecture, and our geographic footprint where we offer this product. We expect to add support for enhanced funding options, to open our exchange product to non-Fold cardholders. As of June 30, 2026, Fold supports access to users from all 50 states.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revenues from the Fold Bitcoin Gift Card, which launched in May 2025, are included within custody and trading. Revenues from this product were $0.7 million for the three months ended June 30, 2026. The second quarter of fiscal year 2025 was the first period in which we offered this product. This product provides customers the ability to purchase USD denominated gift cards through the Fold App, through online gift card distributors, and through brick-and-mortar retail locations across the country and redeem those gift cards for bitcoin through Fold. This product is currently available for purchase on Fold platforms, via various participating online retailers, and in Kroger. We expect to continue to roll out this product to new distribution channels in the near term.</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Banking and payments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Banking and payments costs include direct costs related to licensing, servicing, and processing transactions within our banking and payments products, including costs related to our Fold Debit Card and merchant offers. Banking and payments costs decreased in relation to our decreased merchant offer volumes as noted above. Costs of sales from merchant offers decreased 36% from $7.4 million for the three months ended June 30, 2025 to $4.7 million for the three months ended June 30,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Excluding merchant offers and Visa rebates, our banking and payments costs were $0.3 million for the three months ended June 30, 2026 compared to $0.3 million for the three months ended June 30, 2025.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Custody and trading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Custody and trading costs consist primarily of licensing, servicing, and custodial fees related to our bitcoin exchange product. While some of our custody and trading costs scale in direct proportion to our volumes and revenues, other costs, such as monthly platform fees, are fixed and do not scale with volume. Costs from the Fold Bitcoin Gift Card are also included within custody and trading, primarily consisting of bitcoin fulfillment upon redemption and processing fees. Costs associated with this product were $0.7 million for the three months ended June 30, 2026.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Compensation and benefits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Payroll expenses increased $0.1 million from $2.0 million for the three months ended June 30, 2025 to $2.1 million for the three months ended June 30, 2026, primarily due to increased headcount. Employee headcount as of June 30, 2026 was 43 employees. We do not expect to materially increase headcount in the near term.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Compensation and benefits expense for the three months ended June 30, 2026 and 2025 also included non-cash share-based compensation expense of $1.7 million and $1.7 million, respectively. </w:t>
      </w:r>
    </w:p>
    <w:p>
      <w:pPr>
        <w:pStyle w:val="TextBody"/>
        <w:pBdr>
          <w:top w:val="single" w:sz="6" w:space="1" w:color="000000"/>
        </w:pBdr>
        <w:bidi w:val="0"/>
        <w:jc w:val="center"/>
        <w:rPr>
          <w:rFonts w:ascii="Times New Roman" w:hAnsi="Times New Roman"/>
          <w:sz w:val="20"/>
        </w:rPr>
      </w:pPr>
      <w:r>
        <w:rPr>
          <w:rFonts w:ascii="Arial" w:hAnsi="Arial"/>
          <w:color w:val="000000"/>
          <w:sz w:val="16"/>
        </w:rPr>
        <w:t>- 36</w:t>
      </w:r>
      <w:r>
        <w:rPr>
          <w:rFonts w:ascii="Times New Roman" w:hAnsi="Times New Roman"/>
          <w:color w:val="000000"/>
          <w:sz w:val="20"/>
        </w:rPr>
        <w:t xml:space="preserve"> </w:t>
      </w:r>
      <w:r>
        <w:rPr>
          <w:rFonts w:ascii="Arial" w:hAnsi="Arial"/>
          <w:color w:val="000000"/>
          <w:sz w:val="16"/>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i/>
          <w:color w:val="000000"/>
          <w:sz w:val="20"/>
        </w:rPr>
        <w:t>Marketing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Marketing expenses were $0.7 million for the three months ended June 30, 2026 compared to $0.6 million for the three months ended June 30, 2025, respectively. As noted above, we plan to continue to invest in paid marketing and affiliate opportunities in 2026 to support the launches of our newest products, including the Fold Credit Card.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Professional fees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Professional fees remained consistent at $1.3 million for the three months ended June 30, 2026, compared to $1.3 million for the three months ended June 30, 2025.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Gain (loss) on customer rewards liability and digital assets - rewards treasury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Gain (loss) on customer rewards liability and digital assets - rewards treasury include components of unrealized gains (losses) resulting from the remeasurement gain or loss for the change in fair value of bitcoin held by Fold for the purposes of fulfilling our customer rewards liability in the current reporting period, as well as realized gains (losses) that occur upon the fulfillment of customer rewards liabilities. Bitcoin price changes were the primary driver of gains (losses) for both customer rewards liabilities and digital assets - rewards treasury for the three months ended June 30, 2026 and 2025.</w:t>
      </w:r>
    </w:p>
    <w:p>
      <w:pPr>
        <w:pStyle w:val="TextBody"/>
        <w:bidi w:val="0"/>
        <w:jc w:val="left"/>
        <w:rPr/>
      </w:pPr>
      <w:r>
        <w:rPr/>
        <w:t>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Other Selling, General and Administrative Expenses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Selling, General and Administrative expenses primarily consist of costs related to insurance premiums, prepaid amortization, contract labor, and other general business expenses. Total Other Selling, General and Administrative Expenses increased from $1.3 million for the three months ended June 30, 2025 to $1.7 million for the three months ended June 30, 2026. This increase was primarily driven by higher software amortization costs, contract labor including marketing related services, board compensation, and travel related expenses.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Other income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Gain (loss) on digital assets - investment treasury include unrealized gains (losses) resulting from the remeasurement gain or loss for the change in fair value of bitcoin held by Fold as a long-term investment. Bitcoin price changes were the primary driver of gains (losses) for digital assets - investment treasury for the three months ended June 30, 2026 and 2025, with the magnitude of these amounts also affected by the lower bitcoin balance held in the Investment Treasury following the Company's bitcoin sales during the period.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 in fair value of convertible note results from the fair value gain or loss related to the March 2025 Investor Note. During the three months ended June 30, 2025, the Company incurred a loss of $5.3 million due to the change in the fair value of the convertible note.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Legal settlement expenses of $1.4 million during the three months ended June 30, 2026 consist of costs associated with the PCT Litigation Trust settlement. These costs are non-recurring and do not relate to core ongoing operations. </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three months ended June 30, 2025, we incurred a loss on extinguishment of debt of $9.6 million in the condensed statement of operations, which comprised of expensing the original debt's unamortized debt discount of $5.8 million, expensing the original debt's unamortized debt issuance costs of $1.4 million, recording the amended debt premium of $2.0 million and recognizing $0.5 million of additional paid-in capital due to the change in the fair value of the Series C warrants due to the change in exercise price.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three months ended June 30, 2026, we incurred interest expense of $0.3 million related to the Credit Facility and $0.6 million related to the February 2026 Investor Note, which includes amortization expense related to the debt discount. For the three months ended June 30, 2025, we incurred interest expense of $0.6 million for the June 2025 Amended Investor Note and $0.5 million related to the March 2025 Investor Note and amortization of debt discount and debt issuance costs related to our December 2024 Initial Investor Note, prior to extinguishment.</w:t>
      </w:r>
    </w:p>
    <w:p>
      <w:pPr>
        <w:pStyle w:val="TextBody"/>
        <w:bidi w:val="0"/>
        <w:jc w:val="left"/>
        <w:rPr/>
      </w:pPr>
      <w:r>
        <w:rPr/>
        <w:t> </w:t>
      </w:r>
    </w:p>
    <w:p>
      <w:pPr>
        <w:pStyle w:val="TextBody"/>
        <w:bidi w:val="0"/>
        <w:jc w:val="left"/>
        <w:rPr/>
      </w:pPr>
      <w:r>
        <w:rPr/>
        <w:t> </w:t>
      </w:r>
    </w:p>
    <w:p>
      <w:pPr>
        <w:pStyle w:val="TextBody"/>
        <w:pBdr>
          <w:top w:val="single" w:sz="6" w:space="1" w:color="000000"/>
        </w:pBdr>
        <w:bidi w:val="0"/>
        <w:jc w:val="center"/>
        <w:rPr>
          <w:rFonts w:ascii="Times New Roman" w:hAnsi="Times New Roman"/>
          <w:sz w:val="20"/>
        </w:rPr>
      </w:pPr>
      <w:r>
        <w:rPr>
          <w:rFonts w:ascii="Arial" w:hAnsi="Arial"/>
          <w:color w:val="000000"/>
          <w:sz w:val="16"/>
        </w:rPr>
        <w:t>- 37</w:t>
      </w:r>
      <w:r>
        <w:rPr>
          <w:rFonts w:ascii="Times New Roman" w:hAnsi="Times New Roman"/>
          <w:color w:val="000000"/>
          <w:sz w:val="20"/>
        </w:rPr>
        <w:t xml:space="preserve"> </w:t>
      </w:r>
      <w:r>
        <w:rPr>
          <w:rFonts w:ascii="Arial" w:hAnsi="Arial"/>
          <w:color w:val="000000"/>
          <w:sz w:val="16"/>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Results of operations for the six months ended June 30, 2026 and 2025</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Results of operations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95"/>
        <w:gridCol w:w="146"/>
        <w:gridCol w:w="211"/>
        <w:gridCol w:w="1096"/>
        <w:gridCol w:w="166"/>
        <w:gridCol w:w="146"/>
        <w:gridCol w:w="211"/>
        <w:gridCol w:w="1096"/>
        <w:gridCol w:w="166"/>
        <w:gridCol w:w="146"/>
        <w:gridCol w:w="211"/>
        <w:gridCol w:w="1096"/>
        <w:gridCol w:w="166"/>
        <w:gridCol w:w="146"/>
        <w:gridCol w:w="230"/>
        <w:gridCol w:w="761"/>
        <w:gridCol w:w="616"/>
      </w:tblGrid>
      <w:tr>
        <w:trPr/>
        <w:tc>
          <w:tcPr>
            <w:tcW w:w="35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3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11,682,218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15,263,763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(3,581,545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r>
      <w:tr>
        <w:trPr/>
        <w:tc>
          <w:tcPr>
            <w:tcW w:w="35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Banking and payments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9,914,619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14,441,545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(4,526,926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Custody and trading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1,337,454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1,148,858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NM(i)</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7,824,334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10,134,597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(2,310,263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1,020,721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2,923,246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3,058,850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loss on customer rewards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(2,253,069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970,648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(3,223,717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loss on digital assets - rewards treasury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2,808,843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(1,324,091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4,132,934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3,399,228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2,400,876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998,352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27,281,165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31,089,650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(3,808,485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(15,598,947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(15,825,887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(loss) on digital assets - investment treasury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(28,524,298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20,965,072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(49,489,370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SAFEs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(6,503,113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6,503,113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convertible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13,200,089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(11,843,751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25,043,840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note issuance costs and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(9,569,109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9,569,109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Legal settlements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(1,374,828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(1,374,828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NM(i)</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(4,005,132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(9,612,199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5,607,067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(3,195,709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(3,246,487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682,833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496,132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595"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(23,217,045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(19,622,886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(3,594,159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(38,815,992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(35,448,773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(3,367,219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(38,819,463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(35,453,632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(3,365,831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3"/>
        </w:rPr>
        <w:t>(i)</w:t>
      </w:r>
      <w:r>
        <w:rPr>
          <w:rFonts w:ascii="Times New Roman" w:hAnsi="Times New Roman"/>
          <w:color w:val="000000"/>
          <w:sz w:val="20"/>
        </w:rPr>
        <w:t xml:space="preserve"> Not meaningful ("NM")</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Revenue</w:t>
      </w:r>
    </w:p>
    <w:p>
      <w:pPr>
        <w:pStyle w:val="TextBody"/>
        <w:bidi w:val="0"/>
        <w:jc w:val="left"/>
        <w:rPr/>
      </w:pPr>
      <w:r>
        <w:rPr/>
        <w:t> </w:t>
      </w:r>
    </w:p>
    <w:tbl>
      <w:tblPr>
        <w:tblW w:w="9011" w:type="dxa"/>
        <w:jc w:val="left"/>
        <w:tblInd w:w="0" w:type="dxa"/>
        <w:tblLayout w:type="fixed"/>
        <w:tblCellMar>
          <w:top w:w="28" w:type="dxa"/>
          <w:left w:w="28" w:type="dxa"/>
          <w:bottom w:w="28" w:type="dxa"/>
          <w:right w:w="28" w:type="dxa"/>
        </w:tblCellMar>
      </w:tblPr>
      <w:tblGrid>
        <w:gridCol w:w="2896"/>
        <w:gridCol w:w="146"/>
        <w:gridCol w:w="211"/>
        <w:gridCol w:w="1036"/>
        <w:gridCol w:w="166"/>
        <w:gridCol w:w="146"/>
        <w:gridCol w:w="211"/>
        <w:gridCol w:w="1036"/>
        <w:gridCol w:w="166"/>
        <w:gridCol w:w="146"/>
        <w:gridCol w:w="211"/>
        <w:gridCol w:w="991"/>
        <w:gridCol w:w="166"/>
        <w:gridCol w:w="146"/>
        <w:gridCol w:w="255"/>
        <w:gridCol w:w="736"/>
        <w:gridCol w:w="346"/>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 stream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Banking and payments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10,225,033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14,843,181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(4,618,148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Custody and trading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Sales returns and allowances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11,682,218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15,263,763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(3,581,545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revenue for the six months ended June 30, 2026 decreased by $3.6 million, or 23%, to $11.7 million, compared to the net revenue of $15.3 million for the six months ended June 30, 2025. Those amounts are net of reductions in revenue related to Revenue Rewards totaling $0.7 million and $1.0 million for the six months ended June 30, 2026 and 2025,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decrease in revenues reflects the broader downturn in digital asset markets that began in the fourth quarter of 2025 and carried into the current period. Having reached an all-time high valuation of approximately $126,000 in early October 2025, bitcoin reversed sharply as leverage liquidations, long-term holder distributions, and macroeconomic uncertainties drove prices down toward the $88,000 range by December 2025. The drawdown extended into the second quarter of 2026, with bitcoin falling further to a low of approximately $58,000, a decline of more than 50% from the peak. This significant contraction in bitcoin valuations had a direct impact on customer </w:t>
      </w:r>
    </w:p>
    <w:p>
      <w:pPr>
        <w:pStyle w:val="TextBody"/>
        <w:pBdr>
          <w:top w:val="single" w:sz="6" w:space="1" w:color="000000"/>
        </w:pBdr>
        <w:bidi w:val="0"/>
        <w:jc w:val="center"/>
        <w:rPr>
          <w:rFonts w:ascii="Times New Roman" w:hAnsi="Times New Roman"/>
          <w:sz w:val="20"/>
        </w:rPr>
      </w:pPr>
      <w:r>
        <w:rPr>
          <w:rFonts w:ascii="Arial" w:hAnsi="Arial"/>
          <w:color w:val="000000"/>
          <w:sz w:val="16"/>
        </w:rPr>
        <w:t>- 38</w:t>
      </w:r>
      <w:r>
        <w:rPr>
          <w:rFonts w:ascii="Times New Roman" w:hAnsi="Times New Roman"/>
          <w:color w:val="000000"/>
          <w:sz w:val="20"/>
        </w:rPr>
        <w:t xml:space="preserve"> </w:t>
      </w:r>
      <w:r>
        <w:rPr>
          <w:rFonts w:ascii="Arial" w:hAnsi="Arial"/>
          <w:color w:val="000000"/>
          <w:sz w:val="16"/>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activity within our platform. Specifically, for the six months ended June 30, 2026, we averaged approximately $56 million in Transaction Volume per month, compared to $85 million per month for the six months ended June 30, 2025. Our volumes and revenue remain subject to ongoing bitcoin price volatility and broader macroeconomic conditions.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Banking and payments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primary driver behind decreased banking and payments revenues related to merchant offers within our banking and payments business. Net revenue from merchant offers decreased 33% from $13.9 million for the six months ended June 30, 2025 to $9.3 million for the six months ended June 30, 2026. This decrease in merchant offers revenues resulted primarily from the decrease in customer volumes noted above, as well as the Company's continued optimization of its merchant offers portfolio to prioritize higher-margin offers, which reduced overall transaction volumes while improving unit economics.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Excluding merchant offers, our net banking and payments revenues for the six months ended June 30, 2026 and six months ended June 30, 2025 were $0.9 million and $0.9 million, respectively.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Custody and trading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revenues from custody and trading increased by approximately $1.0 million from $0.4 million for the six months ended June 30, 2025 to $1.4 million for the six months ended June 30, 2026. We believe that custody and trading revenues will be an important growth driver for both volumes and revenues going forward. We are devoting significant time and resources to our custody and trading platform which we expect to become a significant growth driver for Fold. Specifically, we are refining our onboarding experience, our funding options, our systems architecture, and our geographic footprint where we offer this product. We expect to add support for enhanced funding options, to open our exchange product to non-Fold cardholders. As of June 30, 2026, Fold supports access to users from all 50 states.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revenues from the Fold Bitcoin Gift Card, which launched in May 2025, are included within custody and trading. Revenues from this product were $1.2 million for the six months ended June 30, 2026. The second quarter of fiscal year 2025 was the first period in which we offered this product. This product provides customers the ability to purchase USD denominated gift cards through the Fold App, through online gift card distributors, and through brick-and-mortar retail locations across the country and redeem those gift cards for bitcoin through Fold. This product is currently available for purchase on Fold platforms, via various participating online retailers, and in physical stores throughout the country, including Kroger marketplaces. We expect to continue to roll out this product to new distribution channels throughout 2026.</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Banking and payments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Banking and payments costs include direct costs related to licensing, servicing, and processing transactions within our banking and payments products, including costs related to our Fold Debit Card and merchant offers. Banking and payments costs decreased in relation to our decreased merchant offer volumes as noted above. Costs of sales from merchant offers decreased 33% from $13.8 million for the six months ended June 30, 2025 to $9.3 million for the six months ended June 30,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Excluding merchant offers and Visa rebates, our banking and payments costs decreased to $0.5 million for the six months ended June 30, 2026 compared to $0.7 million for the six months ended June 30, 2025. This decrease was driven by decreased processing fees, card fulfillment fees and KYC costs related to new cardholder sign-ups during the six months ended June 30, 2026.</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Custody and trading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Custody and trading costs consist primarily of licensing, servicing, and custodial fees related to our bitcoin exchange product. While some of our custody and trading costs scale in direct proportion to our volumes and revenues, other costs, such as monthly platform fees, are fixed and do not scale with volume. Costs from the Fold Bitcoin Gift Card are also included within custody and trading, primarily consisting of bitcoin fulfillment upon redemption and processing fees. Costs associated with this product were $1.2 million for the six months ended June 30, 2026. </w:t>
      </w:r>
    </w:p>
    <w:p>
      <w:pPr>
        <w:pStyle w:val="TextBody"/>
        <w:pBdr>
          <w:top w:val="single" w:sz="6" w:space="1" w:color="000000"/>
        </w:pBdr>
        <w:bidi w:val="0"/>
        <w:jc w:val="center"/>
        <w:rPr>
          <w:rFonts w:ascii="Times New Roman" w:hAnsi="Times New Roman"/>
          <w:sz w:val="20"/>
        </w:rPr>
      </w:pPr>
      <w:r>
        <w:rPr>
          <w:rFonts w:ascii="Arial" w:hAnsi="Arial"/>
          <w:color w:val="000000"/>
          <w:sz w:val="16"/>
        </w:rPr>
        <w:t>- 39</w:t>
      </w:r>
      <w:r>
        <w:rPr>
          <w:rFonts w:ascii="Times New Roman" w:hAnsi="Times New Roman"/>
          <w:color w:val="000000"/>
          <w:sz w:val="20"/>
        </w:rPr>
        <w:t xml:space="preserve"> </w:t>
      </w:r>
      <w:r>
        <w:rPr>
          <w:rFonts w:ascii="Arial" w:hAnsi="Arial"/>
          <w:color w:val="000000"/>
          <w:sz w:val="16"/>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Compensation and benefits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Payroll expenses increased $1.2 million from $3.3 million for the six months ended June 30, 2025 to $4.5 million for the six months ended June 30, 2026, primarily due to increased headcount, merit increases, and employee bonuses. Employee headcount as of June 30, 2026 was 43 employees. We do not expect to materially increase headcount in the near term.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Compensation and benefits expense for the six months ended June 30, 2026 and 2025 also included non-cash share-based compensation expense of $3.4 million and $6.9 million, respectively. The $6.9 million of share-based compensation expense for the six months ended June 30, 2025 included $4.4 million of unrecognized share-based compensation expense that was immediately recognized due to the performance condition under the 2019 Equity Plan being deemed satisfied on February 14, 2025 as a result of the Merger with FTAC Emerald. There was $14.1 million of unrecognized share-based compensation expense related to unvested awards as of June 30, 2026. </w:t>
      </w:r>
    </w:p>
    <w:p>
      <w:pPr>
        <w:pStyle w:val="TextBody"/>
        <w:bidi w:val="0"/>
        <w:spacing w:before="360" w:after="283"/>
        <w:jc w:val="both"/>
        <w:rPr>
          <w:rFonts w:ascii="Times New Roman" w:hAnsi="Times New Roman"/>
          <w:sz w:val="20"/>
        </w:rPr>
      </w:pPr>
      <w:r>
        <w:rPr>
          <w:rFonts w:ascii="Times New Roman" w:hAnsi="Times New Roman"/>
          <w:i/>
          <w:color w:val="000000"/>
          <w:sz w:val="20"/>
        </w:rPr>
        <w:t>Marketing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Marketing expenses were $1.0 million for the six months ended June 30, 2026 compared to $1.0 million for the six months ended June 30, 2025, respectively. As noted above, we plan to continue to invest in paid marketing and affiliate opportunities in 2026 to support the launches of our newest products, including the Fold Credit Card.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Professional fees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Professional fees decreased to $2.9 million for the six months ended June 30, 2026, compared to $3.1 million for the six months ended June 30, 2025. This decrease was driven primarily by lower fees paid to external legal counsel and third-party consultants compared to 2025 which included costs incurred to support our Merger with FTAC Emerald and financing transactions.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Gain (loss) on customer rewards liability and digital assets - rewards treasury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Gain (loss) on customer rewards liability and digital assets - rewards treasury include components of unrealized gains (losses) resulting from the remeasurement gain or loss for the change in fair value of bitcoin held by Fold for the purposes of fulfilling our customer rewards liability in the current reporting period, as well as realized gains (losses) that occur upon the fulfillment of customer rewards liabilities. Bitcoin price changes were the primary driver of gains (losses) for both customer rewards liabilities and digital assets - rewards treasury for the six months ended June 30, 2026 and 2025.</w:t>
      </w:r>
    </w:p>
    <w:p>
      <w:pPr>
        <w:pStyle w:val="TextBody"/>
        <w:bidi w:val="0"/>
        <w:jc w:val="left"/>
        <w:rPr/>
      </w:pPr>
      <w:r>
        <w:rPr/>
        <w:t>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Other Selling, General and Administrative Expenses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Selling, General and Administrative expenses primarily consist of costs related to insurance premiums, prepaid amortization, contract labor, and other general business expenses. Total Other Selling, General and Administrative Expenses increased from $2.4 million for the six months ended June 30, 2025 to $3.4 million for the six months ended June 30, 2026. This increase was primarily driven by higher software amortization costs, contract labor including marketing related services, board compensation, and travel related expenses.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Other income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Gain (loss) on digital assets - investment treasury include unrealized gains (losses) resulting from the remeasurement gain or loss for the change in fair value of bitcoin held by Fold as a long-term investment. Bitcoin price changes were the primary driver of gains (losses) for digital assets - investment treasury for the six months ended June 30, 2026 and 2025, with the magnitude of these amounts also affected by the lower bitcoin balance held in the Investment Treasury following the Company's bitcoin sales during the period.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 in fair value of SAFEs results from unrealized gain or loss due to the change in fair value of our long-term SAFE note liabilities, which is determined based on the aggregated, probability-weighted average of the outcomes of certain scenarios. For accounting purposes, outstanding SAFEs are classified as liabilities and the change in their fair value is reflected in the statements of operations. However, Fold Predecessor's SAFEs were structured to be settled via the delivery of common and/or preferred shares upon execution of an equity financing or liquidity event. On February 14, 2025, upon Closing of the Merger, all SAFE notes held by Fold Predecessor converted into Common Stock of the Company.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 in fair value of convertible note results from the fair value gain or loss related to the March 2025 Investor Note. The gain on the fair value of the convertible note was $13.2 million during the six months ended June 30, 2026. The net loss on the fair value of the convertible note of $11.8 million during the six months ended June 30, 2025 is comprised of a $12.7 million day one loss on the issuance of debt offset by a $0.9 million gain on the change in fair value.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Convertible note issuance costs and fees relate to the March 2025 SPA including the March 2025 Warrants and Closing Shares. The total issuance costs expensed were $9.6 million for the six months ended June 30, 2025. </w:t>
      </w:r>
    </w:p>
    <w:p>
      <w:pPr>
        <w:pStyle w:val="TextBody"/>
        <w:pBdr>
          <w:top w:val="single" w:sz="6" w:space="1" w:color="000000"/>
        </w:pBdr>
        <w:bidi w:val="0"/>
        <w:jc w:val="center"/>
        <w:rPr>
          <w:rFonts w:ascii="Times New Roman" w:hAnsi="Times New Roman"/>
          <w:sz w:val="20"/>
        </w:rPr>
      </w:pPr>
      <w:r>
        <w:rPr>
          <w:rFonts w:ascii="Arial" w:hAnsi="Arial"/>
          <w:color w:val="000000"/>
          <w:sz w:val="16"/>
        </w:rPr>
        <w:t>- 40</w:t>
      </w:r>
      <w:r>
        <w:rPr>
          <w:rFonts w:ascii="Times New Roman" w:hAnsi="Times New Roman"/>
          <w:color w:val="000000"/>
          <w:sz w:val="20"/>
        </w:rPr>
        <w:t xml:space="preserve"> </w:t>
      </w:r>
      <w:r>
        <w:rPr>
          <w:rFonts w:ascii="Arial" w:hAnsi="Arial"/>
          <w:color w:val="000000"/>
          <w:sz w:val="16"/>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Legal settlement expenses of $1.4 million during the six months ended June 30, 2026 consist of costs associated with the PCT Litigation Trust settlement. These costs are non-recurring and do not relate to core ongoing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Interest expense relates to amortization of the December 2024 Investor Note discount and issuance costs, June 2025 Amended Investor Note premium and issuance costs, March 2025 Investor Note, interest expense related to the February 2026 Investor Note and interest expense related to the Credit Facility. For the six months ended June 30, 2026, we incurred a nominal amount of interest expense related to the amortization of debt premium and debt issuance costs related to the March 2025 Investor Note prior to extinguishment, $2.4 million of special interest expense related to the early prepayment of the June 2025 Amended Investor Note, $0.5 million related to the Credit Facility, and $0.7 million related to the February 2026 Investor Note. For the six months ended June 30, 2025, we incurred interest expense of $1.3 million for the December 2024 Investor Note, $0.7 million for the March 2025 Investor Note and amortization of debt discount and debt issuance costs related to our December 2024 Initial Investor Note, prior to extinguishment.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Adjusted EBITDA</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to net income (loss) and other results under GAAP, we utilize non-GAAP calculations of adjusted earnings before interest, taxes, depreciation, and amortization (“Adjusted EBITDA”) to monitor the financial health of our business. Adjusted EBITDA is defined as net loss, excluding (i) interest expense, (ii) provision for (benefit from) income taxes, (iii) depreciation and amortization, (iv) share-based compensation, (v) remeasurement gains and losses such as fair value remeasurements on our digital assets, convertible notes, and SAFE notes, (vi) impairments, restructuring charges, and business acquisition- or disposition-related expenses that we believe are not indicative of our core operating results and (vii) legal settlement expenses associated with unusual or non-recurring litigation matters that we believe are not indicative of our core operating results. This non-GAAP financial information has limitations as an analytical tool when assessing our operating performance, is presented for supplemental informational purposes only, should not be considered in isolation or as a substitute for, or superior to, financial information presented in accordance with GAAP, and may be different from similarly titled non-GAAP measures used by other companies.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and six months ended June 30, 2026, we added legal settlement expenses as a new category of adjustment to Adjusted EBITDA, related to the settlement of a preference claim asserted in connection with the bankruptcy of a third-party platform. The claim did not allege, and the settlement did not involve any admission of, wrongdoing or misconduct by the Company. This matter is not expected to recur, and we believe its exclusion provides a more comparable basis for assessing our core operating performance.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above items are excluded from our Adjusted EBITDA measure because these items are non-cash in nature, or because the amount and timing of these items are unpredictable, are not driven by core results of operations, and/or render comparisons with prior periods and competitors less meaningful. We believe Adjusted EBITDA and Adjusted EBITDA per share provide useful information to investors and others in understanding and evaluating our results of core operations, as well as providing a useful measure for period-to-period comparisons of our business performance. Moreover, Adjusted EBITDA is a key measurement used by our management internally to make operating decisions, including those related to operating expenses, evaluate performance, and perform strategic planning and annual budgeting.</w:t>
      </w:r>
    </w:p>
    <w:p>
      <w:pPr>
        <w:pStyle w:val="TextBody"/>
        <w:bidi w:val="0"/>
        <w:jc w:val="left"/>
        <w:rPr/>
      </w:pPr>
      <w:r>
        <w:rPr/>
        <w:t> </w:t>
      </w:r>
    </w:p>
    <w:p>
      <w:pPr>
        <w:pStyle w:val="TextBody"/>
        <w:pBdr>
          <w:top w:val="single" w:sz="6" w:space="1" w:color="000000"/>
        </w:pBdr>
        <w:bidi w:val="0"/>
        <w:jc w:val="center"/>
        <w:rPr>
          <w:rFonts w:ascii="Times New Roman" w:hAnsi="Times New Roman"/>
          <w:sz w:val="20"/>
        </w:rPr>
      </w:pPr>
      <w:r>
        <w:rPr>
          <w:rFonts w:ascii="Arial" w:hAnsi="Arial"/>
          <w:color w:val="000000"/>
          <w:sz w:val="16"/>
        </w:rPr>
        <w:t>- 41</w:t>
      </w:r>
      <w:r>
        <w:rPr>
          <w:rFonts w:ascii="Times New Roman" w:hAnsi="Times New Roman"/>
          <w:color w:val="000000"/>
          <w:sz w:val="20"/>
        </w:rPr>
        <w:t xml:space="preserve"> </w:t>
      </w:r>
      <w:r>
        <w:rPr>
          <w:rFonts w:ascii="Arial" w:hAnsi="Arial"/>
          <w:color w:val="000000"/>
          <w:sz w:val="16"/>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a reconciliation of Adjusted EBITDA to the most directly comparable GAAP measure, net loss: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589"/>
        <w:gridCol w:w="146"/>
        <w:gridCol w:w="211"/>
        <w:gridCol w:w="991"/>
        <w:gridCol w:w="166"/>
        <w:gridCol w:w="146"/>
        <w:gridCol w:w="211"/>
        <w:gridCol w:w="1096"/>
        <w:gridCol w:w="166"/>
        <w:gridCol w:w="146"/>
        <w:gridCol w:w="211"/>
        <w:gridCol w:w="1096"/>
        <w:gridCol w:w="166"/>
        <w:gridCol w:w="146"/>
        <w:gridCol w:w="211"/>
        <w:gridCol w:w="1096"/>
        <w:gridCol w:w="411"/>
      </w:tblGrid>
      <w:tr>
        <w:trPr/>
        <w:tc>
          <w:tcPr>
            <w:tcW w:w="35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5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(9,651,557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13,425,567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(38,819,463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(35,453,632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1,974,849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3,195,709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3,246,487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197,908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1,656,693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1,725,205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3,366,106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6,895,480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loss on customer rewards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(745,598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2,071,505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(2,253,069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970,648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loss on digital assets - rewards treasury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(2,334,677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2,808,843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(1,324,091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loss on digital assets - investment treasury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(36,582,224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28,524,298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(20,965,072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SAFEs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6,503,113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(551,717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convertible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5,309,608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(13,200,089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11,843,751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note issuance costs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9,569,109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Legal settlements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1,374,828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1,374,828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9,612,199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4,005,132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9,612,199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(5,464,225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(4,690,250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(11,215,887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(8,899,241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Adjusted EBITDA for the three months ended June 30, 2026 decreased by $0.8 million, or 17% compared to the three months ended June 30, 2025. The principal driver of decreased Adjusted EBITDA relates to (i) increased other selling, general and administrative expenses of $0.4 million related to contract labor expenses for product development and marketing; (ii) increased compensation expense, excluding share-based compensation, of $0.2 million due to increased headcount; and (iii) increased marketing expenses of $0.1 million.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Adjusted EBITDA for the six months ended June 30, 2026 decreased by $2.3 million, or 26% compared to the six months ended June 30, 2025. The principal driver of decreased Adjusted EBITDA relates to (i) increased compensation and benefits expense, excluding share-based compensation, of $1.2 million; (ii) increased other selling, general and administrative expenses of $1.0 million related to contract labor expenses for product development and marketing; and (iii) lower margin contributions across all product lines of $0.2 million. These decreases were partially offset by lower professional fees of $0.1 million.</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Adjusted EBITDA (Loss) Per Share</w:t>
      </w:r>
    </w:p>
    <w:tbl>
      <w:tblPr>
        <w:tblW w:w="10205" w:type="dxa"/>
        <w:jc w:val="left"/>
        <w:tblInd w:w="0" w:type="dxa"/>
        <w:tblLayout w:type="fixed"/>
        <w:tblCellMar>
          <w:top w:w="28" w:type="dxa"/>
          <w:left w:w="28" w:type="dxa"/>
          <w:bottom w:w="28" w:type="dxa"/>
          <w:right w:w="28" w:type="dxa"/>
        </w:tblCellMar>
      </w:tblPr>
      <w:tblGrid>
        <w:gridCol w:w="3864"/>
        <w:gridCol w:w="146"/>
        <w:gridCol w:w="211"/>
        <w:gridCol w:w="1036"/>
        <w:gridCol w:w="166"/>
        <w:gridCol w:w="146"/>
        <w:gridCol w:w="211"/>
        <w:gridCol w:w="1036"/>
        <w:gridCol w:w="166"/>
        <w:gridCol w:w="146"/>
        <w:gridCol w:w="211"/>
        <w:gridCol w:w="1096"/>
        <w:gridCol w:w="166"/>
        <w:gridCol w:w="146"/>
        <w:gridCol w:w="211"/>
        <w:gridCol w:w="1036"/>
        <w:gridCol w:w="211"/>
      </w:tblGrid>
      <w:tr>
        <w:trPr/>
        <w:tc>
          <w:tcPr>
            <w:tcW w:w="38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(5,464,225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(4,690,250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(11,215,887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(8,899,241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used to compute basic and diluted net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51,825,321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46,503,358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50,746,857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36,062,784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 (loss) per share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Financial condition</w:t>
      </w:r>
    </w:p>
    <w:p>
      <w:pPr>
        <w:pStyle w:val="TextBody"/>
        <w:bidi w:val="0"/>
        <w:spacing w:before="360" w:after="120"/>
        <w:jc w:val="both"/>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June 30, 2026, the Company had cash and cash equivalents of $28.4 million and positive working capital of $17.8 million. The Company has a history of net operating losses, including an operating loss of $7.8 million for the three months ended June 30, 2026 and $15.6 million for the six months ended June 30, 2026. The Company has an accumulated deficit of $209.8 million as of June 30, 2026. Of that amount, $98.7 million relates to historical fair value adjustments on the Company's SAFE notes which converted to Common Stock upon the closing of the Merger, $9.6 million relates to the loss on extinguishment of the December 2024 Initial Investor Note in June 2025, and $4.0 million relates to loss on extinguishment of debt recognized during the six months ended June 30, 2026.</w:t>
      </w:r>
    </w:p>
    <w:p>
      <w:pPr>
        <w:pStyle w:val="TextBody"/>
        <w:pBdr>
          <w:top w:val="single" w:sz="6" w:space="1" w:color="000000"/>
        </w:pBdr>
        <w:bidi w:val="0"/>
        <w:jc w:val="center"/>
        <w:rPr>
          <w:rFonts w:ascii="Times New Roman" w:hAnsi="Times New Roman"/>
          <w:sz w:val="20"/>
        </w:rPr>
      </w:pPr>
      <w:r>
        <w:rPr>
          <w:rFonts w:ascii="Arial" w:hAnsi="Arial"/>
          <w:color w:val="000000"/>
          <w:sz w:val="16"/>
        </w:rPr>
        <w:t>- 42</w:t>
      </w:r>
      <w:r>
        <w:rPr>
          <w:rFonts w:ascii="Times New Roman" w:hAnsi="Times New Roman"/>
          <w:color w:val="000000"/>
          <w:sz w:val="20"/>
        </w:rPr>
        <w:t xml:space="preserve"> </w:t>
      </w:r>
      <w:r>
        <w:rPr>
          <w:rFonts w:ascii="Arial" w:hAnsi="Arial"/>
          <w:color w:val="000000"/>
          <w:sz w:val="16"/>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June 30, 2026, the Company held 194 bitcoin in our Investment Treasury (as defined below), valued at $11.4 million based on the price of bitcoin as of that date. During February 2026, the Company sold 200 bitcoin for approximately $14.4 million, with the proceeds used in connection with the extinguishment of the June 2025 Amended Investor Note, as discussed below. During June 2026, the Company sold 632 bitcoin from its Investment Treasury for proceeds of $44.7 million, or approximately $70.8 thousand per bitcoin. From those proceeds, $20.0 million was used to repay in full the outstanding balance under the Company's Credit Facility (as defined below), and the remaining $24.7 million was retained as unrestricted cash for general corporate purposes. As of June 30, 2026, we do not have any bitcoin held as collateral and restricted from operating use.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As of June 30, 2026, we held 77 bitcoin in our Rewards Treasury (as defined below), valued at $4.5 million, which matched our existing customer rewards liability, which is denominated in bitcoin. The Company anticipates being able to cover the costs for future rewards via future revenues and operational capital on hand.</w:t>
      </w:r>
    </w:p>
    <w:p>
      <w:pPr>
        <w:pStyle w:val="TextBody"/>
        <w:bidi w:val="0"/>
        <w:jc w:val="both"/>
        <w:rPr>
          <w:rFonts w:ascii="Times New Roman" w:hAnsi="Times New Roman"/>
          <w:color w:val="000000"/>
          <w:sz w:val="20"/>
        </w:rPr>
      </w:pPr>
      <w:r>
        <w:rPr>
          <w:rFonts w:ascii="Times New Roman" w:hAnsi="Times New Roman"/>
          <w:color w:val="000000"/>
          <w:sz w:val="20"/>
        </w:rPr>
        <w:t>The Company maintains a revolving credit facility (the "Credit Facility") with Two Prime Lending Limited ("Two Prime"), pursuant to which the Company, upon the deposit of bitcoin as collateral, may borrow from Two Prime up to $45.0 million at an interest rate of 8.5% per annum. As of June 30, 2026, the Company has repaid in full the outstanding balance pursuant to the Credit Facility, and no bitcoin is held as collateral under this Credit Facility. The Credit Facility has an initial one-year term from October 1, 2025, which automatically renews for successive one-year periods unless either party provides termination notice, and remains available for future borrowings, subject to its terms. Refer to Note 9 for further information.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February 26, 2026, the Company closed on a transaction pursuant to which the March 2025 Investor Note was extinguished, at which time the 500 bitcoin that had been reserved as collateral for this note, valued at approximately $34.0 million, were returned to the investor. In conjunction with the extinguishment of the March 2025 Investor Note, the Company issued the February 2026 Investor Note (as defined in Note 9) for $13.0 million. On February 27, 2026, the June 2025 Amended Investor Note was extinguished with a cash repayment of $27.5 million, which included cash proceeds from the aforementioned sale of 200 bitcoin and additional cash proceeds received from the February 2026 Investor Note. Refer to Note 9 for further information regarding these transactions.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June 2025, the Company entered into an agreement for a $250 million equity purchase facility (the “Facility”). Pursuant to the Facility, the Company, in its sole discretion, has the right, but not the obligation, to issue and sell up to $250 million in newly issued shares of the Company’s Common Stock, subject to certain conditions. The Company is not required to use the Facility and controls the timing and amount of any drawdown on the Facility, subject to certain restrictions under the Facility. The Company expects that any proceeds received by it from the Facility will be used for, without limitation, working capital, general corporate purposes, and purchasing additional bitcoin for the Company’s corporate treasury should the conditions to do so align with our treasury strategy. As of June 30, 2026, the Company sold 5.82 million shares of Common Stock pursuant to the Facility for gross proceeds of $7.5 million, and recognized $0.2 million of amortization related to deferred issuance costs. Refer to Note 10 for further information.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performs an evaluation to determine whether there are conditions or events (known and reasonably knowable), considered in the aggregate, that raise substantial doubt about the Company’s ability to continue as a going concern within one year after the date that the condensed financial statements are available to be issued. Management expects that the Company’s existing cash and cash equivalents, accounts receivable, financing available from the Credit Facility and the Facility, and digital assets on hand through the date of filing, will be sufficient to enable the Company to fund its anticipated level of operations through one year from the date of this report.</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There is limited historical financial information about the Company upon which to base an evaluation of its performance. The business is subject to risks inherent in the establishment of an emerging growth enterprise, including limited capital resources, possible delays in product development, and possible cost overruns due to price and cost increases in services. The Company may require additional capital to pursue certain business opportunities or respond to technological advancements, competitive dynamics or technologies, customer demands, challenges, or unforeseen circumstances.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may continue to pursue additional capital via various capital instruments in the future, however, such funding may not be available on terms acceptable to us or at all. Although management believes that such capital sources will continue to be available, there can be no assurances that financing will be available to the Company when needed, or if available, on terms acceptable to the Company. If the Company is unable to obtain adequate financing on terms that are satisfactory to the Company, when the Company requires it, the Company’s ability to continue to grow or support the business and to respond to business challenges could be significantly limited, which may adversely affect the Company’s business plan.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Legal Proceedings</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In connection with the chapter 11 bankruptcy proceeding of Prime Core Technologies, Inc. (“Prime Core”), on August 14, 2025, the Company was named as a defendant in a proceeding pending in the United States Bankruptcy Court for the District of Delaware (</w:t>
      </w:r>
      <w:r>
        <w:rPr>
          <w:rFonts w:ascii="Times New Roman" w:hAnsi="Times New Roman"/>
          <w:i/>
          <w:color w:val="000000"/>
          <w:sz w:val="20"/>
        </w:rPr>
        <w:t>PCT</w:t>
      </w:r>
    </w:p>
    <w:p>
      <w:pPr>
        <w:pStyle w:val="TextBody"/>
        <w:pBdr>
          <w:top w:val="single" w:sz="6" w:space="1" w:color="000000"/>
        </w:pBdr>
        <w:bidi w:val="0"/>
        <w:jc w:val="center"/>
        <w:rPr>
          <w:rFonts w:ascii="Times New Roman" w:hAnsi="Times New Roman"/>
          <w:sz w:val="20"/>
        </w:rPr>
      </w:pPr>
      <w:r>
        <w:rPr>
          <w:rFonts w:ascii="Arial" w:hAnsi="Arial"/>
          <w:color w:val="000000"/>
          <w:sz w:val="16"/>
        </w:rPr>
        <w:t>- 43</w:t>
      </w:r>
      <w:r>
        <w:rPr>
          <w:rFonts w:ascii="Times New Roman" w:hAnsi="Times New Roman"/>
          <w:color w:val="000000"/>
          <w:sz w:val="20"/>
        </w:rPr>
        <w:t xml:space="preserve"> </w:t>
      </w:r>
      <w:r>
        <w:rPr>
          <w:rFonts w:ascii="Arial" w:hAnsi="Arial"/>
          <w:color w:val="000000"/>
          <w:sz w:val="16"/>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20"/>
        </w:rPr>
        <w:t>Litigation Trust v. Fold Holdings, Inc.</w:t>
      </w:r>
      <w:r>
        <w:rPr>
          <w:rFonts w:ascii="Times New Roman" w:hAnsi="Times New Roman"/>
          <w:color w:val="000000"/>
          <w:sz w:val="20"/>
        </w:rPr>
        <w:t xml:space="preserve">, Adv. Pro. No. 25-52024 (JKS)), pursuant to which the litigation trust for Prime Core (“PCT Litigation Trust”) sought avoidance and recovery of alleged preferential transfers.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June 30, 2026, the Company entered into a settlement agreement with the PCT Litigation Trust, without any admission of liability by the Company. Under the terms of the settlement, the Company agreed to pay 23.5 bitcoin in full and final satisfaction of the claims asserted, with payment due within 30 days of the agreement's effective date. The PCT Litigation Trust agreed to dismiss its proceeding against us with prejudice upon receipt of payment, and the parties provided each other with mutual releases. As of June 30, 2026, the Company recorded an accrued liability of approximately $1.4 million, representing the U.S. dollar value of the settlement payment based on the closing price of bitcoin as of the agreement's execution date, consistent with the valuation methodology specified in the settlement agreement. Subsequent to June 30, 2026, on July 6, 2026, the Company remitted 23.5 bitcoin to the PCT Litigation Trust in satisfaction of the accrued liability described above.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From time to time, the Company may be subject to, or pursue, other claims, inquiries, or legal proceedings arising in the ordinary course of business. While the outcome of any future matter is inherently uncertain, we do not currently expect that any such matters, if they were to arise, would have a material adverse effect on our consolidated financial position, liquidity, capital resources, or annual results of operations.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Summary of cash flow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our cash flow activities:</w:t>
      </w:r>
    </w:p>
    <w:p>
      <w:pPr>
        <w:pStyle w:val="TextBody"/>
        <w:bidi w:val="0"/>
        <w:jc w:val="left"/>
        <w:rPr/>
      </w:pPr>
      <w:r>
        <w:rPr/>
        <w:t> </w:t>
      </w:r>
    </w:p>
    <w:tbl>
      <w:tblPr>
        <w:tblW w:w="7499" w:type="dxa"/>
        <w:jc w:val="left"/>
        <w:tblInd w:w="0" w:type="dxa"/>
        <w:tblLayout w:type="fixed"/>
        <w:tblCellMar>
          <w:top w:w="28" w:type="dxa"/>
          <w:left w:w="28" w:type="dxa"/>
          <w:bottom w:w="28" w:type="dxa"/>
          <w:right w:w="28" w:type="dxa"/>
        </w:tblCellMar>
      </w:tblPr>
      <w:tblGrid>
        <w:gridCol w:w="4216"/>
        <w:gridCol w:w="146"/>
        <w:gridCol w:w="211"/>
        <w:gridCol w:w="1096"/>
        <w:gridCol w:w="166"/>
        <w:gridCol w:w="146"/>
        <w:gridCol w:w="211"/>
        <w:gridCol w:w="1096"/>
        <w:gridCol w:w="21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(16,043,405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(8,951,081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56,631,741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(2,808,850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(19,853,754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39,291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20,734,582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(11,720,640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Cash flows from operating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six months ended June 30, 2026, cash used in operating activities was $16.0 million compared to $9.0 million for the six months ended June 30, 2025. The increase in cash used was driven primarily by (i) $3.4 million of interest paid in cash; (ii) $2.8 million increase in credit card receivables related to our credit card program; and (iii) increased compensation and benefits, excluding share-based compensation, of $1.2 million.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flows from investing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flows provided by investing activities increased by $59.4 million from $2.8 million of cash used in investing activities for the six months ended June 30, 2025 to $56.6 million of cash provided by investing activities for the six months ended June 30, 2026, primarily due to the sale of bitcoin from our investment treasury for $59.1 million and a decrease in purchases of digital assets.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Cash flows from financing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six months ended June 30, 2026, and June 30, 2025 cash used in financing activities was $19.9 million and $0 million, respectively. For the six months ended June 30, 2026, we received proceeds from the issuance of the February 2026 Investor Note; however, those proceeds were immediately used to pay off the June 2025 Amended Investor Note. For the six months ended June 30, 2026, cash used in financing increased primarily due to the repayment of the June 2025 Amended Investor Note and repayment of the Credit Facility offset slightly by proceeds received from draws on the Credit Facility and the issuance of shares of Common Stock through the facility. For the six months ended June 30, 2025, we received proceeds from issuance of the March 2025 Investor Note; however, those proceeds were received in bitcoin rather than cash and are therefore not included in cash provided by financing activities.</w:t>
      </w:r>
    </w:p>
    <w:p>
      <w:pPr>
        <w:pStyle w:val="TextBody"/>
        <w:bidi w:val="0"/>
        <w:spacing w:before="360" w:after="120"/>
        <w:jc w:val="both"/>
        <w:rPr>
          <w:rFonts w:ascii="Times New Roman" w:hAnsi="Times New Roman"/>
          <w:b/>
          <w:color w:val="000000"/>
          <w:sz w:val="20"/>
        </w:rPr>
      </w:pPr>
      <w:r>
        <w:rPr>
          <w:rFonts w:ascii="Times New Roman" w:hAnsi="Times New Roman"/>
          <w:b/>
          <w:color w:val="000000"/>
          <w:sz w:val="20"/>
        </w:rPr>
        <w:t>Off-Balance Sheet Financing Arrangements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We have no obligations, assets or liabilities, which would be considered off-balance sheet arrangements as of June 30, 2026.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w:t>
      </w:r>
    </w:p>
    <w:p>
      <w:pPr>
        <w:pStyle w:val="TextBody"/>
        <w:pBdr>
          <w:top w:val="single" w:sz="6" w:space="1" w:color="000000"/>
        </w:pBdr>
        <w:bidi w:val="0"/>
        <w:jc w:val="center"/>
        <w:rPr>
          <w:rFonts w:ascii="Times New Roman" w:hAnsi="Times New Roman"/>
          <w:sz w:val="20"/>
        </w:rPr>
      </w:pPr>
      <w:r>
        <w:rPr>
          <w:rFonts w:ascii="Arial" w:hAnsi="Arial"/>
          <w:color w:val="000000"/>
          <w:sz w:val="16"/>
        </w:rPr>
        <w:t>- 44</w:t>
      </w:r>
      <w:r>
        <w:rPr>
          <w:rFonts w:ascii="Times New Roman" w:hAnsi="Times New Roman"/>
          <w:color w:val="000000"/>
          <w:sz w:val="20"/>
        </w:rPr>
        <w:t xml:space="preserve"> </w:t>
      </w:r>
      <w:r>
        <w:rPr>
          <w:rFonts w:ascii="Arial" w:hAnsi="Arial"/>
          <w:color w:val="000000"/>
          <w:sz w:val="16"/>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into any off-balance sheet financing arrangements, established any special purpose entities, guaranteed any debt or commitments of other entities, or purchased any non-financial assets.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discussion and analysis of our financial condition and results of operations are based upon our financial statements, which have been prepared in accordance with GAAP. GAAP requires us to make certain estimates and judgments that affect the amounts reported in our financial statements. We base our estimates on historical experience, anticipated future trends, and other assumptions we believe to be reasonable under the circumstances. Because these accounting estimates require significant judgment, our actual results may differ materially from our estimates. According to the SEC, a "critical accounting estimate" is defined as an estimate that meets two criteria:</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w:t>
      </w:r>
    </w:p>
    <w:p>
      <w:pPr>
        <w:pStyle w:val="TextBody"/>
        <w:bidi w:val="0"/>
        <w:spacing w:before="120" w:after="283"/>
        <w:jc w:val="both"/>
        <w:rPr/>
      </w:pPr>
      <w:r>
        <w:rPr>
          <w:rFonts w:ascii="Times New Roman" w:hAnsi="Times New Roman"/>
          <w:b/>
          <w:color w:val="000000"/>
          <w:sz w:val="20"/>
        </w:rPr>
        <w:t xml:space="preserve">Material impact: </w:t>
      </w:r>
      <w:r>
        <w:rPr>
          <w:rFonts w:ascii="Times New Roman" w:hAnsi="Times New Roman"/>
          <w:color w:val="000000"/>
          <w:sz w:val="20"/>
        </w:rPr>
        <w:t xml:space="preserve">The accounting estimate must involve a significant degree of estimation uncertainty and have a material impact on the financial condition or operating performance as presented in the financial statements. </w:t>
      </w:r>
    </w:p>
    <w:p>
      <w:pPr>
        <w:pStyle w:val="TextBody"/>
        <w:bidi w:val="0"/>
        <w:spacing w:before="120" w:after="120"/>
        <w:jc w:val="both"/>
        <w:rPr>
          <w:rFonts w:ascii="Times New Roman" w:hAnsi="Times New Roman"/>
          <w:b/>
          <w:color w:val="000000"/>
          <w:sz w:val="20"/>
        </w:rPr>
      </w:pPr>
      <w:r>
        <w:rPr>
          <w:rFonts w:ascii="Times New Roman" w:hAnsi="Times New Roman"/>
          <w:b/>
          <w:color w:val="000000"/>
          <w:sz w:val="20"/>
        </w:rPr>
        <w:t>2.</w:t>
      </w:r>
    </w:p>
    <w:p>
      <w:pPr>
        <w:pStyle w:val="TextBody"/>
        <w:bidi w:val="0"/>
        <w:spacing w:before="120" w:after="120"/>
        <w:jc w:val="both"/>
        <w:rPr/>
      </w:pPr>
      <w:r>
        <w:rPr>
          <w:rFonts w:ascii="Times New Roman" w:hAnsi="Times New Roman"/>
          <w:b/>
          <w:color w:val="000000"/>
          <w:sz w:val="20"/>
        </w:rPr>
        <w:t>Judgment and complexity:</w:t>
      </w:r>
      <w:r>
        <w:rPr>
          <w:color w:val="000000"/>
        </w:rPr>
        <w:t xml:space="preserve"> </w:t>
      </w:r>
      <w:r>
        <w:rPr>
          <w:rFonts w:ascii="Times New Roman" w:hAnsi="Times New Roman"/>
          <w:color w:val="000000"/>
          <w:sz w:val="20"/>
        </w:rPr>
        <w:t>The estimate involves a high degree of judgment and complexity, where changes in the assumptions and estimates could significantly alter the financial portrayal of the company's condition and results.</w:t>
      </w:r>
    </w:p>
    <w:p>
      <w:pPr>
        <w:pStyle w:val="TextBody"/>
        <w:bidi w:val="0"/>
        <w:jc w:val="both"/>
        <w:rPr>
          <w:rFonts w:ascii="Times New Roman" w:hAnsi="Times New Roman"/>
          <w:color w:val="000000"/>
          <w:sz w:val="20"/>
        </w:rPr>
      </w:pPr>
      <w:r>
        <w:rPr>
          <w:rFonts w:ascii="Times New Roman" w:hAnsi="Times New Roman"/>
          <w:color w:val="000000"/>
          <w:sz w:val="20"/>
        </w:rPr>
        <w:t>During the six months ended June 30, 2026, the Company extinguished all previously outstanding convertible notes. As a result, the critical accounting estimates related to the fair value of convertible notes, as described in the Company's Annual Report on Form 10-K for the year ended December 31, 2025, are no longer applicable. The critical accounting estimates related to the fair value of SAFEs and pre-Merger stock-based compensation, also described in our Form 10-K, were no longer applicable as of December 31, 2025. As of June 30, 2026, there are no accounting estimates that meet the criteria for disclosure as critical accounting estimates.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360"/>
        <w:jc w:val="both"/>
        <w:rPr>
          <w:rFonts w:ascii="Times New Roman" w:hAnsi="Times New Roman"/>
          <w:sz w:val="20"/>
        </w:rPr>
      </w:pPr>
      <w:r>
        <w:rPr>
          <w:rFonts w:ascii="Times New Roman" w:hAnsi="Times New Roman"/>
          <w:color w:val="000000"/>
          <w:sz w:val="20"/>
        </w:rPr>
        <w:t xml:space="preserve">See “Recently issued accounting pronouncements not yet adopted” and "Recently adopted accounting pronouncements" described in Note 2 of the Financial Statements, </w:t>
      </w:r>
      <w:r>
        <w:rPr>
          <w:rFonts w:ascii="Times New Roman" w:hAnsi="Times New Roman"/>
          <w:i/>
          <w:color w:val="000000"/>
          <w:sz w:val="20"/>
        </w:rPr>
        <w:t>Summary of Significant Accounting Policies</w:t>
      </w:r>
      <w:r>
        <w:rPr>
          <w:rFonts w:ascii="Times New Roman" w:hAnsi="Times New Roman"/>
          <w:color w:val="000000"/>
          <w:sz w:val="20"/>
        </w:rPr>
        <w:t>.</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pPr>
      <w:r>
        <w:rPr/>
        <w:t> </w:t>
      </w:r>
    </w:p>
    <w:p>
      <w:pPr>
        <w:pStyle w:val="TextBody"/>
        <w:bidi w:val="0"/>
        <w:spacing w:before="120" w:after="283"/>
        <w:jc w:val="left"/>
        <w:rPr/>
      </w:pPr>
      <w:r>
        <w:rPr/>
        <w:t> </w:t>
      </w:r>
    </w:p>
    <w:p>
      <w:pPr>
        <w:pStyle w:val="TextBody"/>
        <w:bidi w:val="0"/>
        <w:spacing w:before="0" w:after="240"/>
        <w:jc w:val="both"/>
        <w:rPr/>
      </w:pPr>
      <w:r>
        <w:rPr/>
        <w:t> </w:t>
      </w:r>
    </w:p>
    <w:p>
      <w:pPr>
        <w:pStyle w:val="TextBody"/>
        <w:bidi w:val="0"/>
        <w:spacing w:before="120" w:after="283"/>
        <w:jc w:val="both"/>
        <w:rPr>
          <w:rFonts w:ascii="Times New Roman" w:hAnsi="Times New Roman"/>
          <w:b/>
          <w:color w:val="000000"/>
          <w:sz w:val="20"/>
          <w:u w:val="single"/>
        </w:rPr>
      </w:pPr>
      <w:r>
        <w:rPr>
          <w:rFonts w:ascii="Times New Roman" w:hAnsi="Times New Roman"/>
          <w:b/>
          <w:color w:val="000000"/>
          <w:sz w:val="20"/>
          <w:u w:val="single"/>
        </w:rPr>
        <w:t>Item 4. Controls and Procedures.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Limitations on Effectiveness of Controls and Procedures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jc w:val="left"/>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management, under the supervision and with the participation of our principal executive officer (our Chief Executive Officer) and our principal financial officer (our Chief Financial Officer), evaluated the effectiveness of our disclosure controls and procedures (as defined in Rules 13a-15(e) and 15d-15(e) under the Exchange Act) as of June 30, 2026. Based on that evaluation, our Chief Executive Officer and our Chief Financial Officer concluded that, as a result of the material weakness in our internal control over financial reporting described below, the design and operation of our disclosure controls and procedures were not effective as of June 30, 2026.</w:t>
      </w:r>
    </w:p>
    <w:p>
      <w:pPr>
        <w:pStyle w:val="TextBody"/>
        <w:bidi w:val="0"/>
        <w:jc w:val="left"/>
        <w:rPr>
          <w:rFonts w:ascii="Times New Roman" w:hAnsi="Times New Roman"/>
          <w:i/>
          <w:color w:val="000000"/>
          <w:sz w:val="20"/>
        </w:rPr>
      </w:pPr>
      <w:r>
        <w:rPr>
          <w:rFonts w:ascii="Times New Roman" w:hAnsi="Times New Roman"/>
          <w:i/>
          <w:color w:val="000000"/>
          <w:sz w:val="20"/>
        </w:rPr>
        <w:t>Material Weakness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following material weakness in our internal control over financial reporting existed as of June 30, 2026:</w:t>
      </w:r>
    </w:p>
    <w:p>
      <w:pPr>
        <w:pStyle w:val="TextBody"/>
        <w:pBdr>
          <w:top w:val="single" w:sz="6" w:space="1" w:color="000000"/>
        </w:pBdr>
        <w:bidi w:val="0"/>
        <w:jc w:val="center"/>
        <w:rPr>
          <w:rFonts w:ascii="Times New Roman" w:hAnsi="Times New Roman"/>
          <w:sz w:val="20"/>
        </w:rPr>
      </w:pPr>
      <w:r>
        <w:rPr>
          <w:rFonts w:ascii="Arial" w:hAnsi="Arial"/>
          <w:color w:val="000000"/>
          <w:sz w:val="16"/>
        </w:rPr>
        <w:t>- 45</w:t>
      </w:r>
      <w:r>
        <w:rPr>
          <w:rFonts w:ascii="Times New Roman" w:hAnsi="Times New Roman"/>
          <w:color w:val="000000"/>
          <w:sz w:val="20"/>
        </w:rPr>
        <w:t xml:space="preserve"> </w:t>
      </w:r>
      <w:r>
        <w:rPr>
          <w:rFonts w:ascii="Arial" w:hAnsi="Arial"/>
          <w:color w:val="000000"/>
          <w:sz w:val="16"/>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did not design or operate effective controls surrounding our complex debt and equity transactions.</w:t>
      </w:r>
    </w:p>
    <w:p>
      <w:pPr>
        <w:pStyle w:val="TextBody"/>
        <w:bidi w:val="0"/>
        <w:jc w:val="both"/>
        <w:rPr>
          <w:rFonts w:ascii="Times New Roman" w:hAnsi="Times New Roman"/>
          <w:color w:val="000000"/>
          <w:sz w:val="20"/>
        </w:rPr>
      </w:pPr>
      <w:r>
        <w:rPr>
          <w:rFonts w:ascii="Times New Roman" w:hAnsi="Times New Roman"/>
          <w:color w:val="000000"/>
          <w:sz w:val="20"/>
        </w:rPr>
        <w:t>We have begun the process of, and are focused on, designing and implementing effective internal controls measures to improve our internal control over financial reporting and remediate the material weakness. Our remediation efforts include several actions:</w:t>
      </w:r>
    </w:p>
    <w:p>
      <w:pPr>
        <w:pStyle w:val="TextBody"/>
        <w:bidi w:val="0"/>
        <w:jc w:val="both"/>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engaged consultants to provide additional depth and breadth in our technical accounting and financial reporting capabilities, including reviews of complex debt and equity transactions.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engaged consultants to assist with reviewing our internal controls over financial reporting to address gaps in the design and operating effectiveness of our internal controls, including controls specific to management's review of work performed by third party consultants.</w:t>
      </w:r>
    </w:p>
    <w:p>
      <w:pPr>
        <w:pStyle w:val="TextBody"/>
        <w:bidi w:val="0"/>
        <w:jc w:val="both"/>
        <w:rPr>
          <w:rFonts w:ascii="Times New Roman" w:hAnsi="Times New Roman"/>
          <w:color w:val="000000"/>
          <w:sz w:val="20"/>
        </w:rPr>
      </w:pPr>
      <w:r>
        <w:rPr>
          <w:rFonts w:ascii="Times New Roman" w:hAnsi="Times New Roman"/>
          <w:color w:val="000000"/>
          <w:sz w:val="20"/>
        </w:rPr>
        <w:t>The actions that we are taking are subject to ongoing senior management review, as well as oversight of the audit committee of our Board. We also may conclude that additional measures may be required to remediate the material weakness or determine to modify the remediation plans described above. We will not be able to conclude that we have remediated the material weakness until the applicable controls are fully implemented and operate for a sufficient period of time and management has concluded, through formal testing, that these controls are operating effectively. We will continue to monitor the design and effectiveness of these and other processes, procedures, and controls and make any further changes management deems appropriate.</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than the ongoing remediation efforts described above, there have been no changes in our internal control over financial reporting (as defined in Rules 13a-15(f) and 15d-15(f) under the Exchange Act) during the three months ended June 30, 2026 that have materially affected, or are reasonably likely to materially affect, our internal control over financial reporting.</w:t>
      </w:r>
    </w:p>
    <w:p>
      <w:pPr>
        <w:pStyle w:val="TextBody"/>
        <w:bidi w:val="0"/>
        <w:jc w:val="left"/>
        <w:rPr/>
      </w:pPr>
      <w:r>
        <w:rPr/>
        <w:t> </w:t>
      </w:r>
    </w:p>
    <w:p>
      <w:pPr>
        <w:pStyle w:val="TextBody"/>
        <w:pBdr>
          <w:top w:val="single" w:sz="6" w:space="1" w:color="000000"/>
        </w:pBdr>
        <w:bidi w:val="0"/>
        <w:jc w:val="center"/>
        <w:rPr>
          <w:rFonts w:ascii="Times New Roman" w:hAnsi="Times New Roman"/>
          <w:sz w:val="20"/>
        </w:rPr>
      </w:pPr>
      <w:r>
        <w:rPr>
          <w:rFonts w:ascii="Arial" w:hAnsi="Arial"/>
          <w:color w:val="000000"/>
          <w:sz w:val="16"/>
        </w:rPr>
        <w:t>- 46</w:t>
      </w:r>
      <w:r>
        <w:rPr>
          <w:rFonts w:ascii="Times New Roman" w:hAnsi="Times New Roman"/>
          <w:color w:val="000000"/>
          <w:sz w:val="20"/>
        </w:rPr>
        <w:t xml:space="preserve"> </w:t>
      </w:r>
      <w:r>
        <w:rPr>
          <w:rFonts w:ascii="Arial" w:hAnsi="Arial"/>
          <w:color w:val="000000"/>
          <w:sz w:val="16"/>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II—OTHER INFORMATION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Item 1. Legal Proceedings.</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From time to time, we may be subject to various claims, lawsuits and other legal and administrative proceedings that may arise in the ordinary course of business. Some of these claims, lawsuits and other proceedings may range in complexity and result in substantial uncertainty; it is possible that they may result in damages, fines, penalties, non-monetary sanctions, or relief. We were previously the defendant in a bankruptcy clawback proceeding as described in Part I, Item 2 - Management's Discussion and Analysis of Financial Condition and Results of Operations. On June 30, 2026, we entered into a settlement agreement resolving this matter without any admission of liability, and the related adversary proceeding was dismissed with prejudice.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Item 1A. Risk Factors.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are numerous factors that affect our business and operating results, many of which are beyond our control. Except as set forth below, there have been no material changes to the risk factors previously described in our Annual Report on Form 10-K for the year ended December 31, 2025.</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Our common stock may be delisted from The Nasdaq Capital Market if we are unable to regain compliance with Nasdaq’s minimum bid price requirement.</w:t>
      </w:r>
    </w:p>
    <w:p>
      <w:pPr>
        <w:pStyle w:val="TextBody"/>
        <w:bidi w:val="0"/>
        <w:jc w:val="both"/>
        <w:rPr>
          <w:rFonts w:ascii="Times New Roman" w:hAnsi="Times New Roman"/>
          <w:color w:val="000000"/>
          <w:sz w:val="20"/>
        </w:rPr>
      </w:pPr>
      <w:r>
        <w:rPr>
          <w:rFonts w:ascii="Times New Roman" w:hAnsi="Times New Roman"/>
          <w:color w:val="000000"/>
          <w:sz w:val="20"/>
        </w:rPr>
        <w:t>On July 14, 2026, we received a written notice from the Listing Qualifications Department of The Nasdaq Stock Market LLC (“Nasdaq”) notifying us that we are not in compliance with Nasdaq Listing Rule 5550(a)(2), which requires listed securities to maintain a minimum bid price of at least $1.00 per share. The notice was based on the closing bid price of our common stock for the 30 consecutive business days from May 28, 2026 through July 13, 2026. The notice has no immediate effect on the listing or trading of our common stock, which continues to trade on The Nasdaq Capital Market under the symbol "FLD."</w:t>
      </w:r>
    </w:p>
    <w:p>
      <w:pPr>
        <w:pStyle w:val="TextBody"/>
        <w:bidi w:val="0"/>
        <w:jc w:val="both"/>
        <w:rPr>
          <w:rFonts w:ascii="Times New Roman" w:hAnsi="Times New Roman"/>
          <w:color w:val="000000"/>
          <w:sz w:val="20"/>
        </w:rPr>
      </w:pPr>
      <w:r>
        <w:rPr>
          <w:rFonts w:ascii="Times New Roman" w:hAnsi="Times New Roman"/>
          <w:color w:val="000000"/>
          <w:sz w:val="20"/>
        </w:rPr>
        <w:t>In accordance with Nasdaq Listing Rule 5810(c)(3)(A), we have been provided an initial period of 180 calendar days, or until January 11, 2027, to regain compliance with the minimum bid price requirement. To regain compliance, the closing bid price of our common stock must be at least $1.00 per share for a minimum of ten consecutive business days during the compliance period, unless Nasdaq exercises its discretion to extend that period. If we choose to implement a reverse stock split to regain compliance, we must complete the split no later than ten business days prior to the expiration of the compliance period.</w:t>
      </w:r>
    </w:p>
    <w:p>
      <w:pPr>
        <w:pStyle w:val="TextBody"/>
        <w:bidi w:val="0"/>
        <w:jc w:val="both"/>
        <w:rPr>
          <w:rFonts w:ascii="Times New Roman" w:hAnsi="Times New Roman"/>
          <w:color w:val="000000"/>
          <w:sz w:val="20"/>
        </w:rPr>
      </w:pPr>
      <w:r>
        <w:rPr>
          <w:rFonts w:ascii="Times New Roman" w:hAnsi="Times New Roman"/>
          <w:color w:val="000000"/>
          <w:sz w:val="20"/>
        </w:rPr>
        <w:t>There can be no assurance that we will regain compliance within the initial compliance period, that we will be eligible for an additional compliance period, or that Nasdaq will grant us additional time to regain compliance. If we are unable to regain compliance, or otherwise fail to maintain compliance with Nasdaq’s continued listing standards, Nasdaq may determine to delist our common stock. Any such delisting would constitute an Event of Default under our February 2026 Investor Note and could materially adversely affect the liquidity and market price of our common stock, impair our ability to raise additional capital on acceptable terms, reduce investor confidence, decrease analyst coverage, and have other adverse effects on our business, financial condition and results of operations.</w:t>
      </w:r>
    </w:p>
    <w:p>
      <w:pPr>
        <w:pStyle w:val="TextBody"/>
        <w:bidi w:val="0"/>
        <w:jc w:val="both"/>
        <w:rPr>
          <w:rFonts w:ascii="Times New Roman" w:hAnsi="Times New Roman"/>
          <w:color w:val="000000"/>
          <w:sz w:val="20"/>
        </w:rPr>
      </w:pPr>
      <w:r>
        <w:rPr>
          <w:rFonts w:ascii="Times New Roman" w:hAnsi="Times New Roman"/>
          <w:color w:val="000000"/>
          <w:sz w:val="20"/>
        </w:rPr>
        <w:t>We intend to monitor the closing bid price of our common stock and consider available options to regain compliance, which may include seeking stockholder approval to effect a reverse stock split. There can be no assurance that any action taken by us would be successful or would result in a sustained increase in the market price of our common stock. Even if we regain compliance with the minimum bid price requirement, there can be no assurance that the market price of our common stock will not again fall below $1.00 per share, which could result in our receipt of one or more additional deficiency notices and ultimately in the delisting of our common stock from The Nasdaq Capital Market.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Item 2. Unregistered Sales of Equity Securities and Use of Proceeds.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than as previously reported by us on our Current Report on Form 8-K, during the period covered by this Quarterly Report on Form 10-Q, the Company did not sell any unregistered securities.</w:t>
      </w:r>
    </w:p>
    <w:p>
      <w:pPr>
        <w:pStyle w:val="TextBody"/>
        <w:pBdr>
          <w:top w:val="single" w:sz="6" w:space="1" w:color="000000"/>
        </w:pBdr>
        <w:bidi w:val="0"/>
        <w:jc w:val="center"/>
        <w:rPr>
          <w:rFonts w:ascii="Times New Roman" w:hAnsi="Times New Roman"/>
          <w:sz w:val="20"/>
        </w:rPr>
      </w:pPr>
      <w:r>
        <w:rPr>
          <w:rFonts w:ascii="Arial" w:hAnsi="Arial"/>
          <w:color w:val="000000"/>
          <w:sz w:val="16"/>
        </w:rPr>
        <w:t>- 47</w:t>
      </w:r>
      <w:r>
        <w:rPr>
          <w:rFonts w:ascii="Times New Roman" w:hAnsi="Times New Roman"/>
          <w:color w:val="000000"/>
          <w:sz w:val="20"/>
        </w:rPr>
        <w:t xml:space="preserve"> </w:t>
      </w:r>
      <w:r>
        <w:rPr>
          <w:rFonts w:ascii="Arial" w:hAnsi="Arial"/>
          <w:color w:val="000000"/>
          <w:sz w:val="16"/>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Item 3. Defaults Upon Senior Securities.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Item 4. Mine Safety Disclosures.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Item 5. Other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directors and officers (as defined in Rule 16a-1(f) under the Exchange Act) are permitted to trade in the Company’s securities pursuant to a prearranged trading plan intended to satisfy the affirmative defense of Rule 10b5-1(c) under the Exchange Act (a “Rule 10b5-1 Plan”). During the three months ended June 30, 2026, one of the Company’s officers, our Chief Technology Officer, Tom Dickman, adopted a Rule 10b5-1 Plan. The applicable Rule 10b5-1 Plan was entered into during an open trading window, on June 12, 2026, in accordance with the Company’s Insider Trading Policy. Up to 50,000 shares can be sold under Mr. Dickman's 10b5-1 Plan from October 14, 2026 through June 11, 2027.</w:t>
      </w:r>
    </w:p>
    <w:p>
      <w:pPr>
        <w:pStyle w:val="TextBody"/>
        <w:bidi w:val="0"/>
        <w:jc w:val="left"/>
        <w:rPr/>
      </w:pPr>
      <w:r>
        <w:rPr/>
        <w:t> </w:t>
      </w:r>
    </w:p>
    <w:p>
      <w:pPr>
        <w:pStyle w:val="TextBody"/>
        <w:pBdr>
          <w:top w:val="single" w:sz="6" w:space="1" w:color="000000"/>
        </w:pBdr>
        <w:bidi w:val="0"/>
        <w:jc w:val="center"/>
        <w:rPr>
          <w:rFonts w:ascii="Times New Roman" w:hAnsi="Times New Roman"/>
          <w:sz w:val="20"/>
        </w:rPr>
      </w:pPr>
      <w:r>
        <w:rPr>
          <w:rFonts w:ascii="Arial" w:hAnsi="Arial"/>
          <w:color w:val="000000"/>
          <w:sz w:val="16"/>
        </w:rPr>
        <w:t>- 48</w:t>
      </w:r>
      <w:r>
        <w:rPr>
          <w:rFonts w:ascii="Times New Roman" w:hAnsi="Times New Roman"/>
          <w:color w:val="000000"/>
          <w:sz w:val="20"/>
        </w:rPr>
        <w:t xml:space="preserve"> </w:t>
      </w:r>
      <w:r>
        <w:rPr>
          <w:rFonts w:ascii="Arial" w:hAnsi="Arial"/>
          <w:color w:val="000000"/>
          <w:sz w:val="16"/>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Item 6. Exhibits.</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9"/>
        <w:gridCol w:w="146"/>
        <w:gridCol w:w="9260"/>
      </w:tblGrid>
      <w:tr>
        <w:trPr/>
        <w:tc>
          <w:tcPr>
            <w:tcW w:w="7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60" w:type="dxa"/>
            <w:tcBorders/>
            <w:vAlign w:val="center"/>
          </w:tcPr>
          <w:p>
            <w:pPr>
              <w:pStyle w:val="TableContents"/>
              <w:bidi w:val="0"/>
              <w:spacing w:before="0" w:after="283"/>
              <w:jc w:val="left"/>
              <w:rPr>
                <w:sz w:val="4"/>
                <w:szCs w:val="4"/>
              </w:rPr>
            </w:pPr>
            <w:r>
              <w:rPr>
                <w:sz w:val="4"/>
                <w:szCs w:val="4"/>
              </w:rPr>
            </w:r>
          </w:p>
        </w:tc>
      </w:tr>
      <w:tr>
        <w:trPr/>
        <w:tc>
          <w:tcPr>
            <w:tcW w:w="799"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6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Agreement and Plan of Merger, dated July 24, 2024, by and among FTAC Emerald Acquisition Corp., FTAC EMLD Merger Sub Inc. and Fold, Inc. (incorporated by reference to Annex A to the Company’s Registration Statement on Form S-4 filed with the SEC on October 7, 2024).</w:t>
              </w:r>
            </w:hyperlink>
          </w:p>
        </w:tc>
      </w:tr>
      <w:tr>
        <w:trPr/>
        <w:tc>
          <w:tcPr>
            <w:tcW w:w="7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Third Amended and Restated Certificate of Incorporation of Fold Holdings, Inc. (incorporated by reference to Exhibit 3.1 to the Company’s Current Report on Form 8-K filed with the SEC on February 14, 2025).</w:t>
              </w:r>
            </w:hyperlink>
          </w:p>
        </w:tc>
      </w:tr>
      <w:tr>
        <w:trPr/>
        <w:tc>
          <w:tcPr>
            <w:tcW w:w="7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Bylaws of Fold Holdings, Inc. (incorporated by reference to Exhibit 3.2 to the Company’s Current Report on Form 8-K filed with the SEC on February 14, 2025).</w:t>
              </w:r>
            </w:hyperlink>
          </w:p>
        </w:tc>
      </w:tr>
      <w:tr>
        <w:trPr/>
        <w:tc>
          <w:tcPr>
            <w:tcW w:w="7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Certification of Principal Executive Officer Pursuant to Rules 13a-14(a) and 15d-14(a) under the Securities Exchange Act of 1934, as Adopted Pursuant to Section 302 of the Sarbanes-Oxley Act of 2002.</w:t>
            </w:r>
          </w:p>
        </w:tc>
      </w:tr>
      <w:tr>
        <w:trPr/>
        <w:tc>
          <w:tcPr>
            <w:tcW w:w="7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Certification of Principal Financial Officer Pursuant to Rules 13a-14(a) and 15d-14(a) under the Securities Exchange Act of 1934, as Adopted Pursuant to Section 302 of the Sarbanes-Oxley Act of 2002.</w:t>
            </w:r>
          </w:p>
        </w:tc>
      </w:tr>
      <w:tr>
        <w:trPr/>
        <w:tc>
          <w:tcPr>
            <w:tcW w:w="7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Certification of Principal Executive Officer Pursuant to 18 U.S.C. Section 1350, as Adopted Pursuant to Section 906 of the Sarbanes-Oxley Act of 2002.</w:t>
            </w:r>
          </w:p>
        </w:tc>
      </w:tr>
      <w:tr>
        <w:trPr/>
        <w:tc>
          <w:tcPr>
            <w:tcW w:w="7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Certification of Principal Financial Officer Pursuant to 18 U.S.C. Section 1350, as Adopted Pursuant to Section 906 of the Sarbanes-Oxley Act of 2002.</w:t>
            </w:r>
          </w:p>
        </w:tc>
      </w:tr>
      <w:tr>
        <w:trPr/>
        <w:tc>
          <w:tcPr>
            <w:tcW w:w="7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tbl>
      <w:tblPr>
        <w:tblW w:w="2196" w:type="dxa"/>
        <w:jc w:val="left"/>
        <w:tblInd w:w="0" w:type="dxa"/>
        <w:tblLayout w:type="fixed"/>
        <w:tblCellMar>
          <w:top w:w="28" w:type="dxa"/>
          <w:left w:w="28" w:type="dxa"/>
          <w:bottom w:w="28" w:type="dxa"/>
          <w:right w:w="28" w:type="dxa"/>
        </w:tblCellMar>
      </w:tblPr>
      <w:tblGrid>
        <w:gridCol w:w="331"/>
        <w:gridCol w:w="109"/>
        <w:gridCol w:w="1756"/>
      </w:tblGrid>
      <w:tr>
        <w:trPr/>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r>
      <w:tr>
        <w:trPr/>
        <w:tc>
          <w:tcPr>
            <w:tcW w:w="3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r>
      <w:tr>
        <w:trPr/>
        <w:tc>
          <w:tcPr>
            <w:tcW w:w="3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Furnished herewith.</w:t>
            </w:r>
          </w:p>
        </w:tc>
      </w:tr>
    </w:tbl>
    <w:p>
      <w:pPr>
        <w:pStyle w:val="TextBody"/>
        <w:bidi w:val="0"/>
        <w:jc w:val="left"/>
        <w:rPr/>
      </w:pPr>
      <w:r>
        <w:rPr/>
        <w:t> </w:t>
      </w:r>
    </w:p>
    <w:p>
      <w:pPr>
        <w:pStyle w:val="TextBody"/>
        <w:pBdr>
          <w:top w:val="single" w:sz="6" w:space="1" w:color="000000"/>
        </w:pBdr>
        <w:bidi w:val="0"/>
        <w:jc w:val="center"/>
        <w:rPr>
          <w:rFonts w:ascii="Times New Roman" w:hAnsi="Times New Roman"/>
          <w:sz w:val="20"/>
        </w:rPr>
      </w:pPr>
      <w:r>
        <w:rPr>
          <w:rFonts w:ascii="Arial" w:hAnsi="Arial"/>
          <w:color w:val="000000"/>
          <w:sz w:val="16"/>
        </w:rPr>
        <w:t>- 49</w:t>
      </w:r>
      <w:r>
        <w:rPr>
          <w:rFonts w:ascii="Times New Roman" w:hAnsi="Times New Roman"/>
          <w:color w:val="000000"/>
          <w:sz w:val="20"/>
        </w:rPr>
        <w:t xml:space="preserve"> </w:t>
      </w:r>
      <w:r>
        <w:rPr>
          <w:rFonts w:ascii="Arial" w:hAnsi="Arial"/>
          <w:color w:val="000000"/>
          <w:sz w:val="16"/>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159" w:type="dxa"/>
        <w:jc w:val="left"/>
        <w:tblInd w:w="0" w:type="dxa"/>
        <w:tblLayout w:type="fixed"/>
        <w:tblCellMar>
          <w:top w:w="28" w:type="dxa"/>
          <w:left w:w="28" w:type="dxa"/>
          <w:bottom w:w="28" w:type="dxa"/>
          <w:right w:w="28" w:type="dxa"/>
        </w:tblCellMar>
      </w:tblPr>
      <w:tblGrid>
        <w:gridCol w:w="1951"/>
        <w:gridCol w:w="146"/>
        <w:gridCol w:w="406"/>
        <w:gridCol w:w="265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Fold Holdings, Inc.</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6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Will Reeves</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Will Reeves</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6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Wolfe Repass</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Wolfe Repass</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Accounting Officer)</w:t>
            </w:r>
          </w:p>
        </w:tc>
      </w:tr>
    </w:tbl>
    <w:p>
      <w:pPr>
        <w:pStyle w:val="TextBody"/>
        <w:bidi w:val="0"/>
        <w:jc w:val="left"/>
        <w:rPr/>
      </w:pPr>
      <w:r>
        <w:rPr/>
        <w:t> </w:t>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Will Reeves,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Fold Holdings,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pBdr>
          <w:top w:val="single" w:sz="6" w:space="1" w:color="000000"/>
        </w:pBdr>
        <w:bidi w:val="0"/>
        <w:jc w:val="center"/>
        <w:rPr>
          <w:rFonts w:ascii="Times New Roman" w:hAnsi="Times New Roman"/>
          <w:sz w:val="20"/>
        </w:rPr>
      </w:pPr>
      <w:r>
        <w:rPr>
          <w:rFonts w:ascii="Arial" w:hAnsi="Arial"/>
          <w:color w:val="000000"/>
          <w:sz w:val="16"/>
        </w:rPr>
        <w:t>- 50</w:t>
      </w:r>
      <w:r>
        <w:rPr>
          <w:rFonts w:ascii="Times New Roman" w:hAnsi="Times New Roman"/>
          <w:color w:val="000000"/>
          <w:sz w:val="20"/>
        </w:rPr>
        <w:t xml:space="preserve"> </w:t>
      </w:r>
      <w:r>
        <w:rPr>
          <w:rFonts w:ascii="Arial" w:hAnsi="Arial"/>
          <w:color w:val="000000"/>
          <w:sz w:val="16"/>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878" w:type="dxa"/>
        <w:jc w:val="left"/>
        <w:tblInd w:w="0" w:type="dxa"/>
        <w:tblLayout w:type="fixed"/>
        <w:tblCellMar>
          <w:top w:w="28" w:type="dxa"/>
          <w:left w:w="28" w:type="dxa"/>
          <w:bottom w:w="28" w:type="dxa"/>
          <w:right w:w="28" w:type="dxa"/>
        </w:tblCellMar>
      </w:tblPr>
      <w:tblGrid>
        <w:gridCol w:w="1951"/>
        <w:gridCol w:w="451"/>
        <w:gridCol w:w="2476"/>
      </w:tblGrid>
      <w:tr>
        <w:trPr/>
        <w:tc>
          <w:tcPr>
            <w:tcW w:w="19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360" w:after="283"/>
              <w:jc w:val="left"/>
              <w:rPr>
                <w:rFonts w:ascii="Times New Roman" w:hAnsi="Times New Roman"/>
                <w:color w:val="000000"/>
                <w:sz w:val="20"/>
              </w:rPr>
            </w:pPr>
            <w:r>
              <w:rPr>
                <w:rFonts w:ascii="Times New Roman" w:hAnsi="Times New Roman"/>
                <w:color w:val="000000"/>
                <w:sz w:val="20"/>
              </w:rPr>
              <w:t>Date: August 11, 2026</w:t>
            </w:r>
          </w:p>
        </w:tc>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2476"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i/>
                <w:color w:val="000000"/>
                <w:sz w:val="20"/>
              </w:rPr>
              <w:t>/s/ Will Reeves</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 Reeves</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sz w:val="20"/>
        </w:rPr>
      </w:pPr>
      <w:r>
        <w:rPr>
          <w:rFonts w:ascii="Times New Roman" w:hAnsi="Times New Roman"/>
          <w:b/>
          <w:color w:val="000000"/>
          <w:sz w:val="20"/>
        </w:rPr>
        <w:t>RULES 13a-14(a) AND 15d-14(a) UNDER THE SECURITIES EXCHANGE ACT OF 1934,</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Wolfe Repass,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Fold Holdings,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pBdr>
          <w:top w:val="single" w:sz="6" w:space="1" w:color="000000"/>
        </w:pBdr>
        <w:bidi w:val="0"/>
        <w:jc w:val="center"/>
        <w:rPr>
          <w:rFonts w:ascii="Times New Roman" w:hAnsi="Times New Roman"/>
          <w:sz w:val="20"/>
        </w:rPr>
      </w:pPr>
      <w:r>
        <w:rPr>
          <w:rFonts w:ascii="Arial" w:hAnsi="Arial"/>
          <w:color w:val="000000"/>
          <w:sz w:val="16"/>
        </w:rPr>
        <w:t>- 51</w:t>
      </w:r>
      <w:r>
        <w:rPr>
          <w:rFonts w:ascii="Times New Roman" w:hAnsi="Times New Roman"/>
          <w:color w:val="000000"/>
          <w:sz w:val="20"/>
        </w:rPr>
        <w:t xml:space="preserve"> </w:t>
      </w:r>
      <w:r>
        <w:rPr>
          <w:rFonts w:ascii="Arial" w:hAnsi="Arial"/>
          <w:color w:val="000000"/>
          <w:sz w:val="16"/>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123" w:type="dxa"/>
        <w:jc w:val="left"/>
        <w:tblInd w:w="0" w:type="dxa"/>
        <w:tblLayout w:type="fixed"/>
        <w:tblCellMar>
          <w:top w:w="28" w:type="dxa"/>
          <w:left w:w="28" w:type="dxa"/>
          <w:bottom w:w="28" w:type="dxa"/>
          <w:right w:w="28" w:type="dxa"/>
        </w:tblCellMar>
      </w:tblPr>
      <w:tblGrid>
        <w:gridCol w:w="1951"/>
        <w:gridCol w:w="406"/>
        <w:gridCol w:w="3766"/>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360" w:after="283"/>
              <w:jc w:val="left"/>
              <w:rPr>
                <w:rFonts w:ascii="Times New Roman" w:hAnsi="Times New Roman"/>
                <w:color w:val="000000"/>
                <w:sz w:val="20"/>
              </w:rPr>
            </w:pPr>
            <w:r>
              <w:rPr>
                <w:rFonts w:ascii="Times New Roman" w:hAnsi="Times New Roman"/>
                <w:color w:val="000000"/>
                <w:sz w:val="20"/>
              </w:rPr>
              <w:t>Date: August 11,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6"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i/>
                <w:color w:val="000000"/>
                <w:sz w:val="20"/>
              </w:rPr>
              <w:t>/s/ Wolfe Repass</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Wolfe Repass</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rFonts w:ascii="Times New Roman" w:hAnsi="Times New Roman"/>
          <w:color w:val="000000"/>
          <w:sz w:val="20"/>
        </w:rPr>
      </w:pPr>
      <w:r>
        <w:rPr>
          <w:rFonts w:ascii="Times New Roman" w:hAnsi="Times New Roman"/>
          <w:color w:val="000000"/>
          <w:sz w:val="20"/>
        </w:rPr>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for the period ending June 30, 2026 of Fold Holdings, Inc., a Delaware corporation (the “Company”) as filed with the Securities and Exchange Commission on the date hereof (the “Quarterly Report”), I, Will Reeves, do hereby certify, pursuant to 18 U.S.C. Section 1350, as adopted pursuant to Section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Quarterly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Quarterly Report fairly presents, in all material respects, the financial condition and results of operations of Fold Holdings, Inc.</w:t>
      </w:r>
    </w:p>
    <w:p>
      <w:pPr>
        <w:pStyle w:val="TextBody"/>
        <w:bidi w:val="0"/>
        <w:jc w:val="left"/>
        <w:rPr/>
      </w:pPr>
      <w:r>
        <w:rPr/>
        <w:t> </w:t>
      </w:r>
    </w:p>
    <w:tbl>
      <w:tblPr>
        <w:tblW w:w="4833" w:type="dxa"/>
        <w:jc w:val="left"/>
        <w:tblInd w:w="0" w:type="dxa"/>
        <w:tblLayout w:type="fixed"/>
        <w:tblCellMar>
          <w:top w:w="28" w:type="dxa"/>
          <w:left w:w="28" w:type="dxa"/>
          <w:bottom w:w="28" w:type="dxa"/>
          <w:right w:w="28" w:type="dxa"/>
        </w:tblCellMar>
      </w:tblPr>
      <w:tblGrid>
        <w:gridCol w:w="1951"/>
        <w:gridCol w:w="406"/>
        <w:gridCol w:w="2476"/>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360" w:after="283"/>
              <w:jc w:val="left"/>
              <w:rPr>
                <w:rFonts w:ascii="Times New Roman" w:hAnsi="Times New Roman"/>
                <w:color w:val="000000"/>
                <w:sz w:val="20"/>
              </w:rPr>
            </w:pPr>
            <w:r>
              <w:rPr>
                <w:rFonts w:ascii="Times New Roman" w:hAnsi="Times New Roman"/>
                <w:color w:val="000000"/>
                <w:sz w:val="20"/>
              </w:rPr>
              <w:t>Date: August 11,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6"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i/>
                <w:color w:val="000000"/>
                <w:sz w:val="20"/>
              </w:rPr>
              <w:t>/s/ Will Reeves</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 Reeves</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rFonts w:ascii="Times New Roman" w:hAnsi="Times New Roman"/>
          <w:color w:val="000000"/>
          <w:sz w:val="20"/>
        </w:rPr>
      </w:pPr>
      <w:r>
        <w:rPr>
          <w:rFonts w:ascii="Times New Roman" w:hAnsi="Times New Roman"/>
          <w:color w:val="000000"/>
          <w:sz w:val="20"/>
        </w:rPr>
        <w:t>A signed original of this written statement required by Section 906 of the Sarbanes-Oxley Act of 2002 has been provided to Fold Holdings, Inc. and will be retained by Fold Holdings, Inc. and furnished to the Securities and Exchange Commission or its staff upon request.</w:t>
      </w:r>
    </w:p>
    <w:p>
      <w:pPr>
        <w:pStyle w:val="TextBody"/>
        <w:bidi w:val="0"/>
        <w:jc w:val="left"/>
        <w:rPr>
          <w:rFonts w:ascii="Times New Roman" w:hAnsi="Times New Roman"/>
          <w:color w:val="000000"/>
          <w:sz w:val="20"/>
        </w:rPr>
      </w:pPr>
      <w:r>
        <w:rPr>
          <w:rFonts w:ascii="Times New Roman" w:hAnsi="Times New Roman"/>
          <w:color w:val="000000"/>
          <w:sz w:val="20"/>
        </w:rPr>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for the period ending June 30, 2026 of Fold Holdings, Inc., a Delaware corporation (the “Company”) as filed with the Securities and Exchange Commission on the date hereof (the “Quarterly Report”), I, Wolfe Repass, do hereby certify, pursuant to 18 U.S.C. Section 1350, as adopted pursuant to Section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Quarterly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Quarterly Report fairly presents, in all material respects, the financial condition and results of operations of Fold Holdings, Inc.</w:t>
      </w:r>
    </w:p>
    <w:p>
      <w:pPr>
        <w:pStyle w:val="TextBody"/>
        <w:bidi w:val="0"/>
        <w:jc w:val="left"/>
        <w:rPr/>
      </w:pPr>
      <w:r>
        <w:rPr/>
        <w:t> </w:t>
      </w:r>
    </w:p>
    <w:tbl>
      <w:tblPr>
        <w:tblW w:w="6123" w:type="dxa"/>
        <w:jc w:val="left"/>
        <w:tblInd w:w="0" w:type="dxa"/>
        <w:tblLayout w:type="fixed"/>
        <w:tblCellMar>
          <w:top w:w="28" w:type="dxa"/>
          <w:left w:w="28" w:type="dxa"/>
          <w:bottom w:w="28" w:type="dxa"/>
          <w:right w:w="28" w:type="dxa"/>
        </w:tblCellMar>
      </w:tblPr>
      <w:tblGrid>
        <w:gridCol w:w="1951"/>
        <w:gridCol w:w="406"/>
        <w:gridCol w:w="3766"/>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360" w:after="283"/>
              <w:jc w:val="left"/>
              <w:rPr>
                <w:rFonts w:ascii="Times New Roman" w:hAnsi="Times New Roman"/>
                <w:color w:val="000000"/>
                <w:sz w:val="20"/>
              </w:rPr>
            </w:pPr>
            <w:r>
              <w:rPr>
                <w:rFonts w:ascii="Times New Roman" w:hAnsi="Times New Roman"/>
                <w:color w:val="000000"/>
                <w:sz w:val="20"/>
              </w:rPr>
              <w:t>Date: August 11,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6"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i/>
                <w:color w:val="000000"/>
                <w:sz w:val="20"/>
              </w:rPr>
              <w:t>/s/ Wolfe Repass</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Wolfe Repass</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pBdr>
          <w:top w:val="single" w:sz="6" w:space="1" w:color="000000"/>
        </w:pBdr>
        <w:bidi w:val="0"/>
        <w:jc w:val="center"/>
        <w:rPr>
          <w:rFonts w:ascii="Times New Roman" w:hAnsi="Times New Roman"/>
          <w:sz w:val="20"/>
        </w:rPr>
      </w:pPr>
      <w:r>
        <w:rPr>
          <w:rFonts w:ascii="Arial" w:hAnsi="Arial"/>
          <w:color w:val="000000"/>
          <w:sz w:val="16"/>
        </w:rPr>
        <w:t>- 52</w:t>
      </w:r>
      <w:r>
        <w:rPr>
          <w:rFonts w:ascii="Times New Roman" w:hAnsi="Times New Roman"/>
          <w:color w:val="000000"/>
          <w:sz w:val="20"/>
        </w:rPr>
        <w:t xml:space="preserve"> </w:t>
      </w:r>
      <w:r>
        <w:rPr>
          <w:rFonts w:ascii="Arial" w:hAnsi="Arial"/>
          <w:color w:val="000000"/>
          <w:sz w:val="16"/>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signed original of this written statement required by Section 906 of the Sarbanes-Oxley Act of 2002 has been provided to Fold Holdings, Inc. and will be retained by Fold Holdings, Inc. and furnished to the Securities and Exchange Commission or its staff upon request.</w:t>
      </w:r>
    </w:p>
    <w:p>
      <w:pPr>
        <w:pStyle w:val="TextBody"/>
        <w:bidi w:val="0"/>
        <w:jc w:val="left"/>
        <w:rPr/>
      </w:pPr>
      <w:r>
        <w:rPr/>
        <w:t> </w:t>
      </w:r>
    </w:p>
    <w:p>
      <w:pPr>
        <w:pStyle w:val="TextBody"/>
        <w:pBdr>
          <w:top w:val="single" w:sz="6" w:space="1" w:color="000000"/>
        </w:pBdr>
        <w:bidi w:val="0"/>
        <w:jc w:val="center"/>
        <w:rPr>
          <w:rFonts w:ascii="Times New Roman" w:hAnsi="Times New Roman"/>
          <w:sz w:val="20"/>
        </w:rPr>
      </w:pPr>
      <w:r>
        <w:rPr>
          <w:rFonts w:ascii="Arial" w:hAnsi="Arial"/>
          <w:color w:val="000000"/>
          <w:sz w:val="16"/>
        </w:rPr>
        <w:t>- 53</w:t>
      </w:r>
      <w:r>
        <w:rPr>
          <w:rFonts w:ascii="Times New Roman" w:hAnsi="Times New Roman"/>
          <w:color w:val="000000"/>
          <w:sz w:val="20"/>
        </w:rPr>
        <w:t xml:space="preserve"> </w:t>
      </w:r>
      <w:r>
        <w:rPr>
          <w:rFonts w:ascii="Arial" w:hAnsi="Arial"/>
          <w:color w:val="000000"/>
          <w:sz w:val="16"/>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787441/000121390024085654/ea0212543-01.htm" TargetMode="External"/><Relationship Id="rId3" Type="http://schemas.openxmlformats.org/officeDocument/2006/relationships/hyperlink" Target="https://www.sec.gov/Archives/edgar/data/1889123/000121390025014354/ea023010901ex3-1_fold.htm" TargetMode="External"/><Relationship Id="rId4" Type="http://schemas.openxmlformats.org/officeDocument/2006/relationships/hyperlink" Target="https://www.sec.gov/Archives/edgar/data/1889123/000121390025014354/ea023010901ex3-2_fold.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31097</Words>
  <Characters>168431</Characters>
  <CharactersWithSpaces>200757</CharactersWithSpaces>
  <Paragraphs>6662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