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Reeves William Brian Poppic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2942 NORTH 24TH ST, SUITE 115, #42035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Fold Holdings, Inc.</w:t>
              </w:r>
            </w:hyperlink>
            <w:r>
              <w:rPr/>
              <w:t xml:space="preserve"> [ </w:t>
            </w:r>
            <w:r>
              <w:rPr>
                <w:rFonts w:ascii="Times;serif" w:hAnsi="Times;serif"/>
                <w:color w:val="0000FF"/>
                <w:sz w:val="24"/>
                <w:shd w:fill="FFFFFF" w:val="clear"/>
              </w:rPr>
              <w:t>FLD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667"/>
        <w:gridCol w:w="1275"/>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1,074</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5,482,006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11,548</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5,493,554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4,649</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0.47</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5,488,905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0.47</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5,488,472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11,548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46,194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Mr. Reeves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Mr. Reeves.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vest as to one-fourth of the underlying shares beginning on October 1, 2023 and thereafter in 48 equal monthly installments, subject to Mr. Reeves' continued service through the applicable vesting date and a liquidity event vesting condition. The liquidity event vesting condition was deemed met upon the merger of Legacy Fold, Issuer and FTAC EMLD Merger Sub Inc. on February 14, 2025 (the "Merger").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received as part of the Issuer's business combination, in connection with that certain Agreement and Plan of Merger, dated as of July 24, 2024 (the "Merger Agreement"), by and among the Issuer (formerly FTAC Emerald Acquisition Corp.), FTAC EMLD Merger Sub Inc. and Fold, Inc. ("Legacy Fold"), pursuant to which each outstanding Legacy Fold RSU Award was automatically converted into an award of restricted stock units covering a number of shares of the Issuer's Common Stock based on the exchange ratio described in the Issuer's Registration Statement on Form S-4, as amended (Reg. No. 333-282520).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restricted stock units vest as to one-fourth of the underlying shares beginning on December 1, 2023 and thereafter in 48 equal monthly installments, subject to Mr. Reeves' continued service through the applicable vesting date and a liquidity event vesting condition. The liquidity event vesting condition was deemed met upon the Merger.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(incorporated by reference to Exhibit 24 to the Reporting Person's Form 4 filed on February 20,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Audrey Bartosh,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7455" TargetMode="External"/><Relationship Id="rId5" Type="http://schemas.openxmlformats.org/officeDocument/2006/relationships/hyperlink" Target="http://www.sec.gov/cgi-bin/browse-edgar?action=getcompany&amp;CIK=00018891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948</Words>
  <Characters>5081</Characters>
  <CharactersWithSpaces>5907</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